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538E293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keepNext w:val="1"/>
        <w:spacing w:lineRule="auto" w:line="240" w:after="0" w:beforeAutospacing="0" w:afterAutospacing="0"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Самостоятельная работа к</w:t>
      </w:r>
      <w:bookmarkStart w:id="0" w:name="_GoBack"/>
      <w:bookmarkEnd w:id="0"/>
      <w:r>
        <w:rPr>
          <w:rFonts w:ascii="Times New Roman" w:hAnsi="Times New Roman"/>
          <w:b w:val="1"/>
          <w:sz w:val="28"/>
        </w:rPr>
        <w:t xml:space="preserve"> модулю 3 “</w:t>
      </w:r>
      <w:bookmarkStart w:id="1" w:name="_dx_frag_StartFragment"/>
      <w:bookmarkEnd w:id="1"/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Состав и внутренняя среда живых организмов</w:t>
      </w:r>
      <w:r>
        <w:rPr>
          <w:rFonts w:ascii="Times New Roman" w:hAnsi="Times New Roman"/>
          <w:b w:val="1"/>
          <w:sz w:val="28"/>
        </w:rPr>
        <w:t xml:space="preserve">” для студентов 1 курса </w:t>
      </w:r>
      <w:r>
        <w:rPr>
          <w:rFonts w:ascii="Times New Roman" w:hAnsi="Times New Roman"/>
          <w:b w:val="1"/>
          <w:sz w:val="28"/>
        </w:rPr>
        <w:t>педиатрического</w:t>
      </w:r>
      <w:r>
        <w:rPr>
          <w:rFonts w:ascii="Times New Roman" w:hAnsi="Times New Roman"/>
          <w:b w:val="1"/>
          <w:sz w:val="28"/>
        </w:rPr>
        <w:t xml:space="preserve"> факультета 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Тема: </w:t>
      </w:r>
      <w:r>
        <w:rPr>
          <w:rFonts w:ascii="Times New Roman" w:hAnsi="Times New Roman"/>
          <w:sz w:val="28"/>
        </w:rPr>
        <w:t xml:space="preserve">Химические свойства и биологическая роль биогенных элементов. </w:t>
      </w:r>
    </w:p>
    <w:p>
      <w:pPr>
        <w:keepNext w:val="1"/>
        <w:spacing w:lineRule="auto" w:line="240" w:after="0" w:beforeAutospacing="0" w:afterAutospacing="0"/>
        <w:jc w:val="center"/>
        <w:outlineLvl w:val="0"/>
        <w:rPr>
          <w:rFonts w:ascii="Times New Roman" w:hAnsi="Times New Roman"/>
          <w:b w:val="1"/>
          <w:sz w:val="28"/>
        </w:rPr>
      </w:pPr>
    </w:p>
    <w:p>
      <w:pPr>
        <w:keepNext w:val="1"/>
        <w:spacing w:lineRule="auto" w:line="240" w:after="0" w:beforeAutospacing="0" w:afterAutospacing="0"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Перечень рефератов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Слюна как раствор электролитов. Натриево-калиевый коэффициент слюны в норме, при кариесе и альвеолярной пиорее. Роль электролитного гомеостаза в биологических системах.</w:t>
      </w:r>
    </w:p>
    <w:p>
      <w:pPr>
        <w:spacing w:lineRule="auto" w:line="240" w:after="0" w:beforeAutospacing="0" w:afterAutospacing="0"/>
        <w:ind w:left="708"/>
        <w:rPr>
          <w:rFonts w:ascii="Times New Roman" w:hAnsi="Times New Roman"/>
          <w:sz w:val="28"/>
        </w:rPr>
      </w:pP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Буферные системы слюны. Кислотно-основные свойства слюны, десневой жидкости, зубного ликвора. Понятие о кислотно-основном гомеостазе организма.</w:t>
      </w:r>
    </w:p>
    <w:p>
      <w:pPr>
        <w:spacing w:lineRule="auto" w:line="240" w:after="0" w:beforeAutospacing="0" w:afterAutospacing="0"/>
        <w:ind w:left="708"/>
        <w:rPr>
          <w:rFonts w:ascii="Times New Roman" w:hAnsi="Times New Roman"/>
          <w:sz w:val="28"/>
        </w:rPr>
      </w:pP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Химия костной ткани. Реакции, лежащие в основе образования неорганического вещества костной ткани – гидроксиапатита. Гидроксидфосфат кальция и фторидфосфат кальция, неорганические вещества костной ткани и зубной эмали. Механизм кальцификации. Механизм функционирования кальциевого буфера. Явление изоморфизма: замещение в гидроксиапатите гидроксид-ионов на ионы фтора, ионов кальция на ионы стронция. </w:t>
      </w:r>
    </w:p>
    <w:p>
      <w:pPr>
        <w:spacing w:lineRule="auto" w:line="240" w:after="0" w:beforeAutospacing="0" w:afterAutospacing="0"/>
        <w:ind w:left="708"/>
        <w:rPr>
          <w:rFonts w:ascii="Times New Roman" w:hAnsi="Times New Roman"/>
          <w:sz w:val="28"/>
        </w:rPr>
      </w:pP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Химический состав зубной эмали и дентина. Схватывание гипса. Альгинатные слепочные материалы.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8"/>
        </w:rPr>
      </w:pP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Обнаружение мышьяка в биологических объектах (проба Марша). Фосфат-цементы.</w:t>
      </w: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8"/>
        </w:rPr>
      </w:pP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Соединения элементов VIA-группы как лекарственные средства. Медико-биологическое значение элементов VIA-группы. Селен как элемент, способствующий проявлению кариеса.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Медико-биологическая характеристика фторапатита в сравнении с гидроксиапатитом. Фторсодержащие зубные пасты как средство против кариеса. Фторсодержащие стоматологические лаки.</w:t>
      </w:r>
    </w:p>
    <w:p>
      <w:pPr>
        <w:spacing w:lineRule="auto" w:line="240" w:after="0" w:beforeAutospacing="0" w:afterAutospacing="0"/>
        <w:ind w:left="708"/>
        <w:jc w:val="both"/>
        <w:rPr>
          <w:rFonts w:ascii="Times New Roman" w:hAnsi="Times New Roman"/>
          <w:sz w:val="28"/>
        </w:rPr>
      </w:pP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сведения о сплавах и их свойствах, понятие о твёрдых растворах. Сплавы палладия, нержавеющие сплавы (стали) и их применение в ортопедической стоматологии.</w:t>
      </w:r>
    </w:p>
    <w:p>
      <w:pPr>
        <w:spacing w:lineRule="auto" w:line="240" w:after="0" w:beforeAutospacing="0" w:afterAutospacing="0"/>
        <w:ind w:left="708"/>
        <w:rPr>
          <w:rFonts w:ascii="Times New Roman" w:hAnsi="Times New Roman"/>
          <w:sz w:val="28"/>
        </w:rPr>
      </w:pP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Сплавы меди, серебра и золота в стоматологической практике. Серебрение корневых каналов и кариозных полостей зуба. Медные и серебряные цементы.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Сплавы на основе благородных металлов, Со, Ni, Cr, Ti, Cu, Fe и их применение в ортопедической и хирургической стоматологии.</w:t>
      </w:r>
    </w:p>
    <w:p>
      <w:pPr>
        <w:spacing w:lineRule="auto" w:line="240" w:after="0" w:beforeAutospacing="0" w:afterAutospacing="0"/>
        <w:ind w:left="708"/>
        <w:jc w:val="both"/>
        <w:rPr>
          <w:rFonts w:ascii="Times New Roman" w:hAnsi="Times New Roman"/>
          <w:sz w:val="28"/>
        </w:rPr>
      </w:pP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Механизм возникновения электродного потенциала. Гальванический элемент. ЭДС гальванического элемента. Возникновение ЭДС в полости рта при металлопротезировании (гальванические процессы в полости рта). Электрохимия и репарация костной ткани.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Коррозия химическая и электрохимическая. Коррозионная стойкость конструкционных стоматологических материалов в полости рта.</w:t>
      </w:r>
    </w:p>
    <w:p>
      <w:pPr>
        <w:spacing w:lineRule="auto" w:line="240" w:after="0" w:beforeAutospacing="0" w:afterAutospacing="0"/>
        <w:ind w:left="708"/>
        <w:rPr>
          <w:rFonts w:ascii="Times New Roman" w:hAnsi="Times New Roman"/>
          <w:sz w:val="28"/>
        </w:rPr>
      </w:pP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Цинк-сульфатные цементы, цинк-фосфатные цементы, цинкоксидэвгенольные цементы. Кадмий как токсикант окружающей среды.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Титано-циркониевое покрытие. Разделительные лаки для покрытия металлических зубных протезов. Металлокерамические материалы.</w:t>
      </w:r>
    </w:p>
    <w:p>
      <w:pPr>
        <w:spacing w:lineRule="auto" w:line="240" w:after="0" w:beforeAutospacing="0" w:afterAutospacing="0"/>
        <w:ind w:left="708"/>
        <w:rPr>
          <w:rFonts w:ascii="Times New Roman" w:hAnsi="Times New Roman"/>
          <w:sz w:val="28"/>
        </w:rPr>
      </w:pP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Стоматологические пломбировочные материалы. Слепочные материалы.</w:t>
      </w:r>
    </w:p>
    <w:p>
      <w:pPr>
        <w:spacing w:lineRule="auto" w:line="240" w:after="0" w:beforeAutospacing="0" w:afterAutospacing="0"/>
        <w:ind w:left="708"/>
        <w:rPr>
          <w:rFonts w:ascii="Times New Roman" w:hAnsi="Times New Roman"/>
          <w:sz w:val="28"/>
        </w:rPr>
      </w:pP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Зависимость свойств силикатных и боросиликатн6ых стекол от состава, их использование в медицине. Алюмосиликаты. Силикат-цементы.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Правила оформления рефератов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>
      <w:pPr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Структура реферата: титульный лист, план, текст, список литературы. </w:t>
      </w: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8"/>
        </w:rPr>
      </w:pPr>
    </w:p>
    <w:p>
      <w:pPr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Титульный лист: название ВУЗа, название кафедры, тема реферата, Ф.И.О. студента, Ф.И.О. преподавателя, год.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Текст должен соответствовать плану.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списке литературы необходимо полностью указать выходные данные (ГОСТ 7.1–2003).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Ссылки на первоисточники в тексте заключаются в квадратные скобки с указанием номера из списка библиографии.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Оформление страницы: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numPr>
          <w:ilvl w:val="1"/>
          <w:numId w:val="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Поля: левое 3 см, правое 1,5 см, верхнее 1,5 см, нижнее 2 см;</w:t>
      </w:r>
    </w:p>
    <w:p>
      <w:pPr>
        <w:spacing w:lineRule="auto" w:line="240" w:after="0" w:beforeAutospacing="0" w:afterAutospacing="0"/>
        <w:ind w:left="720"/>
        <w:jc w:val="both"/>
        <w:rPr>
          <w:rFonts w:ascii="Times New Roman" w:hAnsi="Times New Roman"/>
          <w:sz w:val="28"/>
        </w:rPr>
      </w:pPr>
    </w:p>
    <w:p>
      <w:pPr>
        <w:numPr>
          <w:ilvl w:val="1"/>
          <w:numId w:val="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Выравнивание текста: по ширине;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numPr>
          <w:ilvl w:val="1"/>
          <w:numId w:val="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Шрифт: гарнитура Times New Roman, 14 pt, межстрочный интервал 1,5 pt;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numPr>
          <w:ilvl w:val="1"/>
          <w:numId w:val="2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Первая строка: отступ. </w:t>
      </w:r>
    </w:p>
    <w:p>
      <w:pPr>
        <w:spacing w:lineRule="auto" w:line="240" w:after="0" w:beforeAutospacing="0" w:afterAutospacing="0"/>
        <w:ind w:left="720"/>
        <w:jc w:val="both"/>
        <w:rPr>
          <w:rFonts w:ascii="Times New Roman" w:hAnsi="Times New Roman"/>
          <w:sz w:val="28"/>
        </w:rPr>
      </w:pPr>
    </w:p>
    <w:p>
      <w:pPr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Текст должен быть набран в текстовом редакторе Microsoft Word в формате *.doс или *.rtf.</w:t>
      </w:r>
    </w:p>
    <w:p>
      <w:p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8"/>
        </w:rPr>
      </w:pPr>
    </w:p>
    <w:p>
      <w:pPr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Табличный материал должен быть представлен без использования сканирования.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Содержащиеся в статье формулы помещаются в текст с использованием формульных редакторов Microsoft Eguation или MathType5.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Индексы в формулах: верхний для зарядов ионов, нижний для указания количества атомов.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numPr>
          <w:ilvl w:val="0"/>
          <w:numId w:val="3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Рефераты, оформленные без соблюдения данных требований, к рассмотрению не принимаются.</w:t>
      </w:r>
    </w:p>
    <w:p>
      <w:pPr>
        <w:rPr>
          <w:rFonts w:ascii="Times New Roman" w:hAnsi="Times New Roman"/>
          <w:sz w:val="28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0C72CEB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 w:tplc="0419000D">
      <w:start w:val="1"/>
      <w:numFmt w:val="bullet"/>
      <w:suff w:val="tab"/>
      <w:lvlText w:val=""/>
      <w:lvlJc w:val="left"/>
      <w:pPr>
        <w:ind w:hanging="360" w:left="1080"/>
      </w:pPr>
      <w:rPr>
        <w:rFonts w:ascii="Wingdings" w:hAnsi="Wingdings"/>
      </w:rPr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37184F44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612E5CC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