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5391B8D8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Лабораторное занятие № 8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Тема:</w:t>
      </w:r>
      <w:r>
        <w:rPr>
          <w:rFonts w:ascii="Times New Roman" w:hAnsi="Times New Roman"/>
          <w:sz w:val="28"/>
        </w:rPr>
        <w:t xml:space="preserve"> Жидкие среды организма. Растворы и их роль в жизнедеятельности. Осмотические свойства растворов электролитов. Электролиты в организме.</w:t>
      </w:r>
    </w:p>
    <w:p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  <w:u w:val="single"/>
        </w:rPr>
        <w:t>Цель занятия:</w:t>
      </w:r>
      <w:r>
        <w:rPr>
          <w:rFonts w:ascii="Times New Roman" w:hAnsi="Times New Roman"/>
          <w:sz w:val="28"/>
        </w:rPr>
        <w:t xml:space="preserve"> Сформировать знания теории растворов как основу для понимания электролитного гомеостаза организма человека, и роли растворов в процессах жизнедеятельности. </w:t>
      </w:r>
    </w:p>
    <w:p>
      <w:pPr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Исходный уровень:</w:t>
      </w:r>
    </w:p>
    <w:p>
      <w:pPr>
        <w:numPr>
          <w:ilvl w:val="0"/>
          <w:numId w:val="5"/>
        </w:numPr>
        <w:ind w:hanging="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Электролитическая диссоциация кислот, оснований, солей.</w:t>
      </w:r>
    </w:p>
    <w:p>
      <w:pPr>
        <w:numPr>
          <w:ilvl w:val="0"/>
          <w:numId w:val="5"/>
        </w:numPr>
        <w:spacing w:after="0" w:beforeAutospacing="0" w:afterAutospacing="0"/>
        <w:ind w:hanging="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Степень диссоциации.</w:t>
      </w:r>
    </w:p>
    <w:p>
      <w:pPr>
        <w:numPr>
          <w:ilvl w:val="0"/>
          <w:numId w:val="5"/>
        </w:numPr>
        <w:spacing w:after="0" w:beforeAutospacing="0" w:afterAutospacing="0"/>
        <w:ind w:hanging="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Сильные и слабые электролиты.</w:t>
      </w:r>
    </w:p>
    <w:p>
      <w:pPr>
        <w:pStyle w:val="P1"/>
        <w:numPr>
          <w:ilvl w:val="0"/>
          <w:numId w:val="5"/>
        </w:numPr>
        <w:ind w:hanging="0" w:left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Молярная концентрация растворов, массовая доля растворенного вещества.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Основные понятия темы:</w:t>
      </w:r>
      <w:r>
        <w:rPr>
          <w:rFonts w:ascii="Times New Roman" w:hAnsi="Times New Roman"/>
          <w:sz w:val="28"/>
        </w:rPr>
        <w:t xml:space="preserve"> Концентрация вещества, растворимость, водородный показатель, осмос, осмотическое давление, плазмолиз, цитолиз, осмолярность, осмоляльность.</w:t>
      </w:r>
      <w:bookmarkStart w:id="0" w:name="_GoBack"/>
      <w:bookmarkEnd w:id="0"/>
    </w:p>
    <w:p>
      <w:pPr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Вопросы к занятию:</w:t>
      </w:r>
    </w:p>
    <w:p>
      <w:pPr>
        <w:numPr>
          <w:ilvl w:val="0"/>
          <w:numId w:val="2"/>
        </w:num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Роль воды и растворов в жизнедеятельности. Физико-химические свойства воды, обусловливающие её уникальную роль как единственного биорастворителя.</w:t>
      </w:r>
    </w:p>
    <w:p>
      <w:pPr>
        <w:numPr>
          <w:ilvl w:val="0"/>
          <w:numId w:val="2"/>
        </w:num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Растворимость газов в жидкостях. </w:t>
      </w:r>
    </w:p>
    <w:p>
      <w:pPr>
        <w:numPr>
          <w:ilvl w:val="0"/>
          <w:numId w:val="2"/>
        </w:num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Коллигативные свойства растворов. </w:t>
      </w:r>
    </w:p>
    <w:p>
      <w:pPr>
        <w:numPr>
          <w:ilvl w:val="0"/>
          <w:numId w:val="2"/>
        </w:num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Электролитическая диссоциация. Константа диссоциации. Закон разведения Освальда.</w:t>
      </w:r>
    </w:p>
    <w:p>
      <w:pPr>
        <w:numPr>
          <w:ilvl w:val="0"/>
          <w:numId w:val="2"/>
        </w:num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Осмос. Осмотическое давление. Закон Вант-Гоффа для растворов неэлектролитов: формулировка, расчетные формулы.</w:t>
      </w:r>
    </w:p>
    <w:p>
      <w:pPr>
        <w:pStyle w:val="P1"/>
        <w:numPr>
          <w:ilvl w:val="0"/>
          <w:numId w:val="2"/>
        </w:num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Осмотические свойства растворов электролитов. Изотонический коэффициент: физический смысл, расчёт, связь с кажущейся степенью диссоциации.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 Гипо-, гипер-, изотонические растворы; их применение в медицине. Понятие об изоосмии (электролитном гомеостазе). Осмоляльность и осмолярность биологических жидкостей: определение понятий, значение, связь с моляльностью и молярной концентрацией. Осмолярность крови.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 Роль осмоса в биологических системах. Плазмолиз и цитолиз. Зависимость степени гемолиза эритроцитов от концентрации раствора NaCl.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  Роль электролитов в процессах жизнедеятельности. Интервалы значений рН для различных жидкостей человеческого организма в норме и патологии. Водородный показатель.</w:t>
      </w:r>
    </w:p>
    <w:p>
      <w:pPr>
        <w:rPr>
          <w:rFonts w:ascii="Times New Roman" w:hAnsi="Times New Roman"/>
          <w:i w:val="1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Хронокарта занятия</w:t>
      </w:r>
    </w:p>
    <w:tbl>
      <w:tblPr>
        <w:tblW w:w="0" w:type="auto"/>
        <w:jc w:val="center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ook w:val="01E0"/>
      </w:tblPr>
      <w:tblGrid/>
      <w:tr>
        <w:trPr>
          <w:jc w:val="center"/>
        </w:trPr>
        <w:tc>
          <w:tcPr>
            <w:tcW w:w="648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5482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Этапы и содержание занятия </w:t>
            </w:r>
          </w:p>
        </w:tc>
        <w:tc>
          <w:tcPr>
            <w:tcW w:w="2520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Используемые методы (в т.ч., интерактивные)</w:t>
            </w:r>
          </w:p>
        </w:tc>
        <w:tc>
          <w:tcPr>
            <w:tcW w:w="1718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Время, мин.</w:t>
            </w:r>
          </w:p>
        </w:tc>
      </w:tr>
      <w:tr>
        <w:trPr>
          <w:jc w:val="center"/>
        </w:trPr>
        <w:tc>
          <w:tcPr>
            <w:tcW w:w="648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  <w:p>
            <w:pPr>
              <w:rPr>
                <w:rFonts w:ascii="Times New Roman" w:hAnsi="Times New Roman"/>
                <w:sz w:val="28"/>
              </w:rPr>
            </w:pPr>
          </w:p>
          <w:p>
            <w:pPr>
              <w:rPr>
                <w:rFonts w:ascii="Times New Roman" w:hAnsi="Times New Roman"/>
                <w:sz w:val="28"/>
              </w:rPr>
            </w:pP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  <w:p>
            <w:pPr>
              <w:rPr>
                <w:rFonts w:ascii="Times New Roman" w:hAnsi="Times New Roman"/>
                <w:sz w:val="28"/>
              </w:rPr>
            </w:pPr>
          </w:p>
          <w:p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482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Организационный момент. </w:t>
            </w: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Объявление темы, цели занятия, выяснение непонятных вопросов.</w:t>
            </w: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Текущий письменный контроль на входе</w:t>
            </w:r>
          </w:p>
        </w:tc>
        <w:tc>
          <w:tcPr>
            <w:tcW w:w="2520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Вводная беседа.</w:t>
            </w:r>
          </w:p>
          <w:p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  <w:p>
            <w:pPr>
              <w:rPr>
                <w:rFonts w:ascii="Times New Roman" w:hAnsi="Times New Roman"/>
                <w:sz w:val="28"/>
              </w:rPr>
            </w:pPr>
          </w:p>
          <w:p>
            <w:pPr>
              <w:rPr>
                <w:rFonts w:ascii="Times New Roman" w:hAnsi="Times New Roman"/>
                <w:sz w:val="28"/>
              </w:rPr>
            </w:pP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</w:tr>
      <w:tr>
        <w:trPr>
          <w:jc w:val="center"/>
        </w:trPr>
        <w:tc>
          <w:tcPr>
            <w:tcW w:w="648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5482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Устный опрос</w:t>
            </w:r>
          </w:p>
          <w:p>
            <w:pPr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Отработка практических умений и навыков. Проведение лабораторных работ</w:t>
            </w:r>
          </w:p>
        </w:tc>
        <w:tc>
          <w:tcPr>
            <w:tcW w:w="2520" w:type="dxa"/>
          </w:tcPr>
          <w:p>
            <w:pPr>
              <w:rPr>
                <w:rFonts w:ascii="Times New Roman" w:hAnsi="Times New Roman"/>
                <w:sz w:val="28"/>
              </w:rPr>
            </w:pP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демонстрационное</w:t>
            </w:r>
          </w:p>
        </w:tc>
        <w:tc>
          <w:tcPr>
            <w:tcW w:w="1718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</w:p>
        </w:tc>
      </w:tr>
      <w:tr>
        <w:trPr>
          <w:jc w:val="center"/>
        </w:trPr>
        <w:tc>
          <w:tcPr>
            <w:tcW w:w="648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5482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Заключительная часть занятия:</w:t>
            </w: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Обобщение, выводы по теме.</w:t>
            </w: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Контроль качества формируемых компетенций (их элементов) студентов по теме занятия. Проверка тетрадей.</w:t>
            </w:r>
          </w:p>
        </w:tc>
        <w:tc>
          <w:tcPr>
            <w:tcW w:w="2520" w:type="dxa"/>
          </w:tcPr>
          <w:p>
            <w:pPr>
              <w:rPr>
                <w:rFonts w:ascii="Times New Roman" w:hAnsi="Times New Roman"/>
                <w:sz w:val="28"/>
              </w:rPr>
            </w:pPr>
          </w:p>
          <w:p>
            <w:pPr>
              <w:rPr>
                <w:rFonts w:ascii="Times New Roman" w:hAnsi="Times New Roman"/>
                <w:sz w:val="28"/>
              </w:rPr>
            </w:pPr>
          </w:p>
          <w:p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</w:tcPr>
          <w:p>
            <w:pPr>
              <w:rPr>
                <w:rFonts w:ascii="Times New Roman" w:hAnsi="Times New Roman"/>
                <w:sz w:val="28"/>
              </w:rPr>
            </w:pPr>
          </w:p>
          <w:p>
            <w:pPr>
              <w:rPr>
                <w:rFonts w:ascii="Times New Roman" w:hAnsi="Times New Roman"/>
                <w:sz w:val="28"/>
              </w:rPr>
            </w:pP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  <w:p>
            <w:pPr>
              <w:rPr>
                <w:rFonts w:ascii="Times New Roman" w:hAnsi="Times New Roman"/>
                <w:sz w:val="28"/>
              </w:rPr>
            </w:pPr>
          </w:p>
          <w:p>
            <w:pPr>
              <w:rPr>
                <w:rFonts w:ascii="Times New Roman" w:hAnsi="Times New Roman"/>
                <w:sz w:val="28"/>
              </w:rPr>
            </w:pPr>
          </w:p>
        </w:tc>
      </w:tr>
    </w:tbl>
    <w:p>
      <w:pPr>
        <w:rPr>
          <w:rFonts w:ascii="Times New Roman" w:hAnsi="Times New Roman"/>
          <w:b w:val="1"/>
          <w:sz w:val="28"/>
        </w:rPr>
      </w:pPr>
    </w:p>
    <w:p>
      <w:pPr>
        <w:ind w:left="644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Лабораторные работа № 1  ОСМОС И ОСМОТИЧЕСКОЕ ДАВЛЕНИЕ</w:t>
      </w:r>
      <w:r>
        <w:rPr>
          <w:rFonts w:ascii="Times New Roman" w:hAnsi="Times New Roman"/>
          <w:sz w:val="28"/>
        </w:rPr>
        <w:t xml:space="preserve"> (демонстрационный опыт).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Цель работы:</w:t>
      </w:r>
      <w:r>
        <w:rPr>
          <w:rFonts w:ascii="Times New Roman" w:hAnsi="Times New Roman"/>
          <w:sz w:val="28"/>
        </w:rPr>
        <w:t xml:space="preserve"> Изучить процесс односторонней диффузии через полупроницаемую перегородку.</w:t>
      </w:r>
    </w:p>
    <w:p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Теоретическая часть. 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Осмосом называется преимущественно одностороннее проникновение молекул растворителя (диффузия) через полупроницаемую мембрану из растворителя в раствор или из раствора с меньшей концентрацией в раствор с большей концентрацией.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изучения явления осмоса используется мембрана, проницаемая только для молекул растворителя, в частности для молекул воды.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процессе осмоса вода диффундирует через полупроницаемую мембрану в обоих направлениях. Но (в соответствии с законом Фика), по градиенту химического потенциала больше молекул воды переходит туда, где её концентрация меньше, т.е. из растворителя в раствор или из менее концентрированного раствора в более концентрированный раствор, т.е. в направлении падения химического потенциала.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точки зрения термодинамики движущей силой осмоса является стремление системы к выравниванию концентраций.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Поскольку система переходит в менее упорядоченное состояние, то её энтропия возрастает (∆S &gt; 0), в результате чего энергия Гиббса уменьшается (∆G &lt; 0), а химические потенциалы выравниваются. Поэтому осмос – самопроизвольный процесс. 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Ход работы.</w:t>
      </w:r>
      <w:r>
        <w:rPr>
          <w:rFonts w:ascii="Times New Roman" w:hAnsi="Times New Roman"/>
          <w:sz w:val="28"/>
        </w:rPr>
        <w:t xml:space="preserve"> Сосуд, дном которого является полупроницаемая мембрана, наполните 70 % раствором сахарозы, закройте пробкой, в отверстие которой вставлена тонкая трубка, и погрузите в больший сосуд с водой так, чтобы уровни жидкостей в сосудах совпадали.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результате осмоса объём раствора во внутреннем сосуде увеличивается, и столб жидкости постепенно повышается.  При этом создаётся препятствующее осмосу дополнительное гидростатическое давление (р</w:t>
      </w:r>
      <w:r>
        <w:rPr>
          <w:rFonts w:ascii="Times New Roman" w:hAnsi="Times New Roman"/>
          <w:sz w:val="28"/>
          <w:vertAlign w:val="subscript"/>
        </w:rPr>
        <w:t>гидр</w:t>
      </w:r>
      <w:r>
        <w:rPr>
          <w:rFonts w:ascii="Times New Roman" w:hAnsi="Times New Roman"/>
          <w:sz w:val="28"/>
        </w:rPr>
        <w:t>) столба жидкости высотой h. При некоторой высоте h</w:t>
      </w:r>
      <w:r>
        <w:rPr>
          <w:rFonts w:ascii="Times New Roman" w:hAnsi="Times New Roman"/>
          <w:sz w:val="28"/>
          <w:vertAlign w:val="subscript"/>
        </w:rPr>
        <w:t>макс</w:t>
      </w:r>
      <w:r>
        <w:rPr>
          <w:rFonts w:ascii="Times New Roman" w:hAnsi="Times New Roman"/>
          <w:sz w:val="28"/>
        </w:rPr>
        <w:t xml:space="preserve"> гидростатическое давление достигает такого значения, при котором осмос прекратится, т.е. наступит осмотическое равновесие.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Дополнительное гидростатическое давление столба жидкости можно рассчитать по формуле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р</w:t>
      </w:r>
      <w:r>
        <w:rPr>
          <w:rFonts w:ascii="Times New Roman" w:hAnsi="Times New Roman"/>
          <w:sz w:val="28"/>
          <w:vertAlign w:val="subscript"/>
        </w:rPr>
        <w:t xml:space="preserve">г </w:t>
      </w:r>
      <w:r>
        <w:rPr>
          <w:rFonts w:ascii="Times New Roman" w:hAnsi="Times New Roman"/>
          <w:sz w:val="28"/>
        </w:rPr>
        <w:t xml:space="preserve">= h∙ρ∙g, 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где р</w:t>
      </w:r>
      <w:r>
        <w:rPr>
          <w:rFonts w:ascii="Times New Roman" w:hAnsi="Times New Roman"/>
          <w:sz w:val="28"/>
          <w:vertAlign w:val="subscript"/>
        </w:rPr>
        <w:t xml:space="preserve">г </w:t>
      </w:r>
      <w:r>
        <w:rPr>
          <w:rFonts w:ascii="Times New Roman" w:hAnsi="Times New Roman"/>
          <w:sz w:val="28"/>
        </w:rPr>
        <w:t>– гидростатическое давление (дополнительное), Н/м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>;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h – высота столба жидкости, м;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ρ – плотность жидкости, кг/м</w:t>
      </w:r>
      <w:r>
        <w:rPr>
          <w:rFonts w:ascii="Times New Roman" w:hAnsi="Times New Roman"/>
          <w:sz w:val="28"/>
          <w:vertAlign w:val="superscript"/>
        </w:rPr>
        <w:t>3</w:t>
      </w:r>
      <w:r>
        <w:rPr>
          <w:rFonts w:ascii="Times New Roman" w:hAnsi="Times New Roman"/>
          <w:sz w:val="28"/>
        </w:rPr>
        <w:t>;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g – ускорение силы тяжести, равное 9,8 м/с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. 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Гидростатическое давление столба жидкости при осмотическом равновесии определяет осмотическое давление.</w:t>
      </w:r>
    </w:p>
    <w:p>
      <w:pPr>
        <w:spacing w:after="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Результат: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  <w:u w:val="single"/>
        </w:rPr>
        <w:t>Отметьте</w:t>
      </w:r>
      <w:r>
        <w:rPr>
          <w:rFonts w:ascii="Times New Roman" w:hAnsi="Times New Roman"/>
          <w:sz w:val="28"/>
        </w:rPr>
        <w:t xml:space="preserve"> уровень раствора в трубке до погружения сосуда в воду и через 1 час после погружения.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  <w:u w:val="single"/>
        </w:rPr>
        <w:t>Измерьте</w:t>
      </w:r>
      <w:r>
        <w:rPr>
          <w:rFonts w:ascii="Times New Roman" w:hAnsi="Times New Roman"/>
          <w:sz w:val="28"/>
        </w:rPr>
        <w:t xml:space="preserve"> высоту столба жидкости.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  <w:u w:val="single"/>
        </w:rPr>
        <w:t>Рассчитайте</w:t>
      </w:r>
      <w:r>
        <w:rPr>
          <w:rFonts w:ascii="Times New Roman" w:hAnsi="Times New Roman"/>
          <w:sz w:val="28"/>
        </w:rPr>
        <w:t xml:space="preserve"> величину гидростатического давления столба жидкости.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  <w:u w:val="single"/>
        </w:rPr>
        <w:t>Объясните</w:t>
      </w:r>
      <w:r>
        <w:rPr>
          <w:rFonts w:ascii="Times New Roman" w:hAnsi="Times New Roman"/>
          <w:sz w:val="28"/>
        </w:rPr>
        <w:t xml:space="preserve">, является ли установленное в опыте гидростатическое давление осмотическим давлением. </w:t>
      </w:r>
    </w:p>
    <w:p>
      <w:pPr>
        <w:spacing w:after="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Вывод: </w:t>
      </w:r>
    </w:p>
    <w:p>
      <w:pPr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Лабораторная работа № 2 РОСТ ИСКУССТВЕННОЙ КЛЕТКИ ТРАУБЕ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Цель работы:</w:t>
      </w:r>
      <w:r>
        <w:rPr>
          <w:rFonts w:ascii="Times New Roman" w:hAnsi="Times New Roman"/>
          <w:sz w:val="28"/>
        </w:rPr>
        <w:t xml:space="preserve"> Изучить явление осмоса через искусственную полупроницаемую мембрану, состоящую из неорганической соли.</w:t>
      </w:r>
    </w:p>
    <w:p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Теоретическая часть.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Требованиям полупроницаемости в большей или меньшей степени отвечают различные оболочки растительного или животного происхождения, а также некоторые материалы, полученные искусственно, например, пленка коллодия. Примером искусственной полупроницаемой оболочки может служить оболочка из гексацианоферрата(II) меди, полученного по реакции: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2CuSO</w:t>
      </w:r>
      <w:r>
        <w:rPr>
          <w:rFonts w:ascii="Times New Roman" w:hAnsi="Times New Roman"/>
          <w:sz w:val="28"/>
          <w:vertAlign w:val="subscript"/>
        </w:rPr>
        <w:t xml:space="preserve">4 </w:t>
      </w:r>
      <w:r>
        <w:rPr>
          <w:rFonts w:ascii="Times New Roman" w:hAnsi="Times New Roman"/>
          <w:sz w:val="28"/>
        </w:rPr>
        <w:t xml:space="preserve">+  K</w:t>
      </w:r>
      <w:r>
        <w:rPr>
          <w:rFonts w:ascii="Times New Roman" w:hAnsi="Times New Roman"/>
          <w:sz w:val="28"/>
          <w:vertAlign w:val="subscript"/>
        </w:rPr>
        <w:t>4</w:t>
      </w:r>
      <w:r>
        <w:rPr>
          <w:rFonts w:ascii="Times New Roman" w:hAnsi="Times New Roman"/>
          <w:sz w:val="28"/>
        </w:rPr>
        <w:t>[Fe(CN)</w:t>
      </w:r>
      <w:r>
        <w:rPr>
          <w:rFonts w:ascii="Times New Roman" w:hAnsi="Times New Roman"/>
          <w:sz w:val="28"/>
          <w:vertAlign w:val="subscript"/>
        </w:rPr>
        <w:t>6</w:t>
      </w:r>
      <w:r>
        <w:rPr>
          <w:rFonts w:ascii="Times New Roman" w:hAnsi="Times New Roman"/>
          <w:sz w:val="28"/>
        </w:rPr>
        <w:t>] = Cu</w:t>
      </w:r>
      <w:r>
        <w:rPr>
          <w:rFonts w:ascii="Times New Roman" w:hAnsi="Times New Roman"/>
          <w:sz w:val="28"/>
          <w:vertAlign w:val="subscript"/>
        </w:rPr>
        <w:t>2</w:t>
      </w:r>
      <w:r>
        <w:rPr>
          <w:rFonts w:ascii="Times New Roman" w:hAnsi="Times New Roman"/>
          <w:sz w:val="28"/>
        </w:rPr>
        <w:t>[Fe(CN)</w:t>
      </w:r>
      <w:r>
        <w:rPr>
          <w:rFonts w:ascii="Times New Roman" w:hAnsi="Times New Roman"/>
          <w:sz w:val="28"/>
          <w:vertAlign w:val="subscript"/>
        </w:rPr>
        <w:t>6</w:t>
      </w:r>
      <w:r>
        <w:rPr>
          <w:rFonts w:ascii="Times New Roman" w:hAnsi="Times New Roman"/>
          <w:sz w:val="28"/>
        </w:rPr>
        <w:t>] + 2K</w:t>
      </w:r>
      <w:r>
        <w:rPr>
          <w:rFonts w:ascii="Times New Roman" w:hAnsi="Times New Roman"/>
          <w:sz w:val="28"/>
          <w:vertAlign w:val="subscript"/>
        </w:rPr>
        <w:t>2</w:t>
      </w:r>
      <w:r>
        <w:rPr>
          <w:rFonts w:ascii="Times New Roman" w:hAnsi="Times New Roman"/>
          <w:sz w:val="28"/>
        </w:rPr>
        <w:t>SO</w:t>
      </w:r>
      <w:r>
        <w:rPr>
          <w:rFonts w:ascii="Times New Roman" w:hAnsi="Times New Roman"/>
          <w:sz w:val="28"/>
          <w:vertAlign w:val="subscript"/>
        </w:rPr>
        <w:t>4</w:t>
      </w:r>
    </w:p>
    <w:p>
      <w:pPr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b w:val="1"/>
          <w:sz w:val="28"/>
        </w:rPr>
        <w:t>Ход работы:</w:t>
      </w:r>
      <w:r>
        <w:rPr>
          <w:rFonts w:ascii="Times New Roman" w:hAnsi="Times New Roman"/>
          <w:sz w:val="28"/>
        </w:rPr>
        <w:t xml:space="preserve"> В пробирку налить около 3 мл 5 % раствора CuSO</w:t>
      </w:r>
      <w:r>
        <w:rPr>
          <w:rFonts w:ascii="Times New Roman" w:hAnsi="Times New Roman"/>
          <w:sz w:val="28"/>
          <w:vertAlign w:val="subscript"/>
        </w:rPr>
        <w:t>4</w:t>
      </w:r>
      <w:r>
        <w:rPr>
          <w:rFonts w:ascii="Times New Roman" w:hAnsi="Times New Roman"/>
          <w:sz w:val="28"/>
        </w:rPr>
        <w:t xml:space="preserve"> и опустить в раствор кристаллики K</w:t>
      </w:r>
      <w:r>
        <w:rPr>
          <w:rFonts w:ascii="Times New Roman" w:hAnsi="Times New Roman"/>
          <w:sz w:val="28"/>
          <w:vertAlign w:val="subscript"/>
        </w:rPr>
        <w:t>4</w:t>
      </w:r>
      <w:r>
        <w:rPr>
          <w:rFonts w:ascii="Times New Roman" w:hAnsi="Times New Roman"/>
          <w:sz w:val="28"/>
        </w:rPr>
        <w:t>[Fe(CN)</w:t>
      </w:r>
      <w:r>
        <w:rPr>
          <w:rFonts w:ascii="Times New Roman" w:hAnsi="Times New Roman"/>
          <w:sz w:val="28"/>
          <w:vertAlign w:val="subscript"/>
        </w:rPr>
        <w:t>6</w:t>
      </w:r>
      <w:r>
        <w:rPr>
          <w:rFonts w:ascii="Times New Roman" w:hAnsi="Times New Roman"/>
          <w:sz w:val="28"/>
        </w:rPr>
        <w:t>]. На поверхности кристалла образуется сплошная пленка Cu</w:t>
      </w:r>
      <w:r>
        <w:rPr>
          <w:rFonts w:ascii="Times New Roman" w:hAnsi="Times New Roman"/>
          <w:sz w:val="28"/>
          <w:vertAlign w:val="subscript"/>
        </w:rPr>
        <w:t>2</w:t>
      </w:r>
      <w:r>
        <w:rPr>
          <w:rFonts w:ascii="Times New Roman" w:hAnsi="Times New Roman"/>
          <w:sz w:val="28"/>
        </w:rPr>
        <w:t>[Fe(CN)</w:t>
      </w:r>
      <w:r>
        <w:rPr>
          <w:rFonts w:ascii="Times New Roman" w:hAnsi="Times New Roman"/>
          <w:sz w:val="28"/>
          <w:vertAlign w:val="subscript"/>
        </w:rPr>
        <w:t>6</w:t>
      </w:r>
      <w:r>
        <w:rPr>
          <w:rFonts w:ascii="Times New Roman" w:hAnsi="Times New Roman"/>
          <w:sz w:val="28"/>
        </w:rPr>
        <w:t>], пропускающая воду, но задерживающая частицы солей. Через час зарисовать в тетрадь образующуюся полость.</w:t>
      </w:r>
      <w:r>
        <w:rPr>
          <w:rFonts w:ascii="Times New Roman" w:hAnsi="Times New Roman"/>
          <w:sz w:val="28"/>
          <w:vertAlign w:val="subscript"/>
        </w:rPr>
        <w:t xml:space="preserve"> </w:t>
      </w:r>
    </w:p>
    <w:p>
      <w:pPr>
        <w:spacing w:after="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Результат:</w:t>
      </w:r>
    </w:p>
    <w:p>
      <w:pPr>
        <w:spacing w:after="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Химизм:</w:t>
      </w:r>
    </w:p>
    <w:p>
      <w:pPr>
        <w:spacing w:after="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Вывод:</w:t>
      </w:r>
    </w:p>
    <w:p>
      <w:pPr>
        <w:rPr>
          <w:rFonts w:ascii="Times New Roman" w:hAnsi="Times New Roman"/>
          <w:b w:val="1"/>
          <w:sz w:val="28"/>
        </w:rPr>
      </w:pPr>
    </w:p>
    <w:p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Лабораторная работа №3 ГЕМОЛИЗ ЭРИТРОЦИТОВ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Цель работы:</w:t>
      </w:r>
      <w:r>
        <w:rPr>
          <w:rFonts w:ascii="Times New Roman" w:hAnsi="Times New Roman"/>
          <w:sz w:val="28"/>
        </w:rPr>
        <w:t xml:space="preserve"> Установить зависимость степени гемолиза эритроцитов от концентрации раствора NaCl.</w:t>
      </w:r>
    </w:p>
    <w:p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Теоретическая часть.</w:t>
      </w:r>
    </w:p>
    <w:p>
      <w:pPr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Явление осмоса играет важную роль во многих химических и биологических системах. Благодаря осмосу регулируется поступление воды в клетки и межклеточные структуры. Упругость клеток (тургор), обеспечивающая эластичность тканей и сохранение определённой формы органов, обусловлена осмотическим давлением. 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Животные и растительные клетки имеют оболочки или поверхностный слой протоплазмы, обладающие свойствами полупроницаемых мембран. При помещении этих клеток в растворы с различной концентрацией возможны следующие варианты. 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 изотоническом растворе клетки сохраняют свой размер неизменным и нормально функционируют.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При помещении клеток в гипотонический раствор вода из менее концентрированного внешнего раствора переходит внутрь клеток, что приводит к их набуханию, а затем к разрыву оболочек и вытеканию клеточного содержимого. Кровь с клеточным содержимым, выходящим наружу при гемолизе, за свой цвет называется лаковой кровью. Такое разрушение клеток называют лизисом, а в случае эритроцитов – гемолизом. 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При помещении этих клеток в гипертонический раствор вода из клеток уходит в более концентрированный раствор, что приводит к сморщиванию клеток. Это явление называется плазмолизом.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Допустимые колебания осмотического давления крови человека весьма незначительны и даже при тяжёлой патологии не превышают нескольких десятков кПа (десятые доли атмосферы). Поэтому, при различных процедурах в кровь человека в больших количествах можно вводить только изотонические растворы. Осмотическое давление крови человека при 37 </w:t>
      </w:r>
      <w:r>
        <w:rPr>
          <w:rFonts w:ascii="Times New Roman" w:hAnsi="Times New Roman"/>
          <w:sz w:val="28"/>
          <w:vertAlign w:val="superscript"/>
        </w:rPr>
        <w:t>о</w:t>
      </w:r>
      <w:r>
        <w:rPr>
          <w:rFonts w:ascii="Times New Roman" w:hAnsi="Times New Roman"/>
          <w:sz w:val="28"/>
        </w:rPr>
        <w:t>С (310 К) составляет 7,7 атм (780 кПа). Аналогичное давление создаёт 0,9 % раствор NaCl в воде, который, следовательно, изотоничен крови. Таким образом, гемолиз эритроцитов будет протекать в водных растворах NaCl с процентной концентрацией меньше 0,9 %, а плазмолиз при концентрациях выше 0,9 %.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Начало гемолиза в норме наблюдается при концентрации NaCl 0,46 – 0,50 %. При этих концентрациях разрушаются наименее устойчивые эритроциты.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Полный гемолиз в норме отмечается при концентрации NaCl 0,32 %.</w:t>
      </w:r>
    </w:p>
    <w:p>
      <w:pPr>
        <w:rPr>
          <w:rFonts w:ascii="Times New Roman" w:hAnsi="Times New Roman"/>
          <w:b w:val="1"/>
          <w:sz w:val="28"/>
        </w:rPr>
      </w:pP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Ход работы:</w:t>
      </w:r>
      <w:r>
        <w:rPr>
          <w:rFonts w:ascii="Times New Roman" w:hAnsi="Times New Roman"/>
          <w:sz w:val="28"/>
        </w:rPr>
        <w:t xml:space="preserve"> В 9 пробирках приготовить растворы хлорида натрия различной концентрации путем смешивания 1% раствора NaCl с дистиллированной водой в соотношениях, указанных в таблице:</w:t>
      </w:r>
    </w:p>
    <w:p>
      <w:pPr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ook w:val="01E0"/>
      </w:tblPr>
      <w:tblGrid/>
      <w:tr>
        <w:tc>
          <w:tcPr>
            <w:tcW w:w="1418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№ пробирки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Объем дистиллированной  воды, мл</w:t>
            </w:r>
          </w:p>
        </w:tc>
        <w:tc>
          <w:tcPr>
            <w:tcW w:w="1647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 1% раствора NaCl, мл</w:t>
            </w:r>
          </w:p>
        </w:tc>
        <w:tc>
          <w:tcPr>
            <w:tcW w:w="2232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Полученная концентрация раствора NaCl, %</w:t>
            </w:r>
          </w:p>
        </w:tc>
        <w:tc>
          <w:tcPr>
            <w:tcW w:w="1649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Отметка о гемолизе эритроцитов</w:t>
            </w:r>
          </w:p>
        </w:tc>
      </w:tr>
      <w:tr>
        <w:tc>
          <w:tcPr>
            <w:tcW w:w="1418" w:type="dxa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2,4</w:t>
            </w:r>
          </w:p>
        </w:tc>
        <w:tc>
          <w:tcPr>
            <w:tcW w:w="1647" w:type="dxa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0,6</w:t>
            </w:r>
          </w:p>
        </w:tc>
        <w:tc>
          <w:tcPr>
            <w:tcW w:w="2232" w:type="dxa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0,2</w:t>
            </w:r>
          </w:p>
        </w:tc>
        <w:tc>
          <w:tcPr>
            <w:tcW w:w="1649" w:type="dxa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w="1418" w:type="dxa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2,1</w:t>
            </w:r>
          </w:p>
        </w:tc>
        <w:tc>
          <w:tcPr>
            <w:tcW w:w="1647" w:type="dxa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0,9</w:t>
            </w:r>
          </w:p>
        </w:tc>
        <w:tc>
          <w:tcPr>
            <w:tcW w:w="2232" w:type="dxa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0,3</w:t>
            </w:r>
          </w:p>
        </w:tc>
        <w:tc>
          <w:tcPr>
            <w:tcW w:w="1649" w:type="dxa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w="1418" w:type="dxa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1,8</w:t>
            </w:r>
          </w:p>
        </w:tc>
        <w:tc>
          <w:tcPr>
            <w:tcW w:w="1647" w:type="dxa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1,2</w:t>
            </w:r>
          </w:p>
        </w:tc>
        <w:tc>
          <w:tcPr>
            <w:tcW w:w="2232" w:type="dxa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0,4</w:t>
            </w:r>
          </w:p>
        </w:tc>
        <w:tc>
          <w:tcPr>
            <w:tcW w:w="1649" w:type="dxa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w="1418" w:type="dxa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1,5</w:t>
            </w:r>
          </w:p>
        </w:tc>
        <w:tc>
          <w:tcPr>
            <w:tcW w:w="1647" w:type="dxa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1,5</w:t>
            </w:r>
          </w:p>
        </w:tc>
        <w:tc>
          <w:tcPr>
            <w:tcW w:w="2232" w:type="dxa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0,5</w:t>
            </w:r>
          </w:p>
        </w:tc>
        <w:tc>
          <w:tcPr>
            <w:tcW w:w="1649" w:type="dxa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w="1418" w:type="dxa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1,2</w:t>
            </w:r>
          </w:p>
        </w:tc>
        <w:tc>
          <w:tcPr>
            <w:tcW w:w="1647" w:type="dxa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1,8</w:t>
            </w:r>
          </w:p>
        </w:tc>
        <w:tc>
          <w:tcPr>
            <w:tcW w:w="2232" w:type="dxa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0,6</w:t>
            </w:r>
          </w:p>
        </w:tc>
        <w:tc>
          <w:tcPr>
            <w:tcW w:w="1649" w:type="dxa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w="1418" w:type="dxa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0,9</w:t>
            </w:r>
          </w:p>
        </w:tc>
        <w:tc>
          <w:tcPr>
            <w:tcW w:w="1647" w:type="dxa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2,1</w:t>
            </w:r>
          </w:p>
        </w:tc>
        <w:tc>
          <w:tcPr>
            <w:tcW w:w="2232" w:type="dxa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0,7</w:t>
            </w:r>
          </w:p>
        </w:tc>
        <w:tc>
          <w:tcPr>
            <w:tcW w:w="1649" w:type="dxa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w="1418" w:type="dxa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0,6</w:t>
            </w:r>
          </w:p>
        </w:tc>
        <w:tc>
          <w:tcPr>
            <w:tcW w:w="1647" w:type="dxa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2,4</w:t>
            </w:r>
          </w:p>
        </w:tc>
        <w:tc>
          <w:tcPr>
            <w:tcW w:w="2232" w:type="dxa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0,8</w:t>
            </w:r>
          </w:p>
        </w:tc>
        <w:tc>
          <w:tcPr>
            <w:tcW w:w="1649" w:type="dxa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w="1418" w:type="dxa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0,3</w:t>
            </w:r>
          </w:p>
        </w:tc>
        <w:tc>
          <w:tcPr>
            <w:tcW w:w="1647" w:type="dxa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2,7</w:t>
            </w:r>
          </w:p>
        </w:tc>
        <w:tc>
          <w:tcPr>
            <w:tcW w:w="2232" w:type="dxa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0,9</w:t>
            </w:r>
          </w:p>
        </w:tc>
        <w:tc>
          <w:tcPr>
            <w:tcW w:w="1649" w:type="dxa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w="1418" w:type="dxa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1647" w:type="dxa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3,0</w:t>
            </w:r>
          </w:p>
        </w:tc>
        <w:tc>
          <w:tcPr>
            <w:tcW w:w="2232" w:type="dxa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1,0</w:t>
            </w:r>
          </w:p>
        </w:tc>
        <w:tc>
          <w:tcPr>
            <w:tcW w:w="1649" w:type="dxa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</w:p>
        </w:tc>
      </w:tr>
    </w:tbl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каждую пробирку добавить по 2 капли крови, пробирки встряхнуть и оставить на 1 час. Через час оценить степень гемолиза:</w:t>
      </w:r>
    </w:p>
    <w:p>
      <w:pPr>
        <w:spacing w:after="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Результат: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+ - начало гемолиза,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+ + - частичный гемолиз,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+ + + - полный гемолиз. 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Результаты занесите в таблицу.</w:t>
      </w:r>
    </w:p>
    <w:p>
      <w:pPr>
        <w:spacing w:after="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Вывод: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Укажите</w:t>
      </w:r>
      <w:r>
        <w:rPr>
          <w:rFonts w:ascii="Times New Roman" w:hAnsi="Times New Roman"/>
          <w:sz w:val="28"/>
        </w:rPr>
        <w:t xml:space="preserve"> область концентраций раствора NaCl, в которой возможен гемолиз.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Установите</w:t>
      </w:r>
      <w:r>
        <w:rPr>
          <w:rFonts w:ascii="Times New Roman" w:hAnsi="Times New Roman"/>
          <w:sz w:val="28"/>
        </w:rPr>
        <w:t xml:space="preserve"> зависимость степени гемолиза эритроцитов от концентрации раствора NaCl.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Объясните</w:t>
      </w:r>
      <w:r>
        <w:rPr>
          <w:rFonts w:ascii="Times New Roman" w:hAnsi="Times New Roman"/>
          <w:sz w:val="28"/>
        </w:rPr>
        <w:t>, какой процесс может протекать в 9-й пробирке.</w:t>
      </w:r>
    </w:p>
    <w:p>
      <w:pPr>
        <w:rPr>
          <w:rFonts w:ascii="Times New Roman" w:hAnsi="Times New Roman"/>
          <w:b w:val="1"/>
          <w:sz w:val="28"/>
        </w:rPr>
      </w:pPr>
    </w:p>
    <w:p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Вопросы и задания для контроля усвоения темы: </w:t>
      </w:r>
      <w:r>
        <w:rPr>
          <w:rFonts w:ascii="Times New Roman" w:hAnsi="Times New Roman"/>
          <w:sz w:val="28"/>
        </w:rPr>
        <w:t>глава 8.1 вопросы и задания № 1- 26 стр. 137-138 Ершов Ю.А. Биохимия человека учебник для вузов.</w:t>
      </w:r>
      <w:r>
        <w:rPr>
          <w:rFonts w:ascii="Times New Roman" w:hAnsi="Times New Roman"/>
          <w:b w:val="1"/>
          <w:sz w:val="28"/>
        </w:rPr>
        <w:t xml:space="preserve"> </w:t>
      </w:r>
    </w:p>
    <w:p>
      <w:pPr>
        <w:spacing w:lineRule="auto" w:line="275"/>
        <w:jc w:val="center"/>
        <w:rPr>
          <w:rFonts w:ascii="Times New Roman" w:hAnsi="Times New Roman"/>
          <w:color w:val="000000"/>
          <w:sz w:val="28"/>
          <w:u w:val="single"/>
        </w:rPr>
      </w:pPr>
      <w:r>
        <w:rPr>
          <w:rFonts w:ascii="Times New Roman" w:hAnsi="Times New Roman"/>
          <w:color w:val="000000"/>
          <w:sz w:val="28"/>
          <w:u w:val="single"/>
        </w:rPr>
        <w:t xml:space="preserve">Основная учебная  литература:</w:t>
      </w:r>
    </w:p>
    <w:p>
      <w:pPr>
        <w:widowControl w:val="0"/>
        <w:tabs>
          <w:tab w:val="left" w:pos="284" w:leader="none"/>
        </w:tabs>
        <w:spacing w:lineRule="auto" w:line="27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color w:val="000000"/>
          <w:sz w:val="28"/>
          <w:shd w:val="clear" w:fill="FFFFFF"/>
        </w:rPr>
        <w:t>Ершов, Ю. А.  Биохимия человека : учебник для академического бакалавриата / Ю. А. Ершов. — 2-е изд., перераб. и доп. — Москва : Издательство Юрайт, 2019. — 374 с. — (Высшее образование). — ISBN </w:t>
      </w:r>
      <w:r>
        <w:rPr>
          <w:rStyle w:val="C3"/>
          <w:rFonts w:ascii="Times New Roman" w:hAnsi="Times New Roman"/>
          <w:color w:val="000000"/>
          <w:sz w:val="28"/>
          <w:shd w:val="clear" w:fill="FFFFFF"/>
        </w:rPr>
        <w:t>978-5-534-02577-4</w:t>
      </w:r>
      <w:r>
        <w:rPr>
          <w:rFonts w:ascii="Times New Roman" w:hAnsi="Times New Roman"/>
          <w:color w:val="000000"/>
          <w:sz w:val="28"/>
          <w:shd w:val="clear" w:fill="FFFFFF"/>
        </w:rPr>
        <w:t>. — Текст : электронный // Образовательная платформа Юрайт [сайт]. — URL: </w:t>
      </w:r>
      <w:r>
        <w:rPr>
          <w:rFonts w:ascii="Times New Roman" w:hAnsi="Times New Roman"/>
          <w:color w:val="000000"/>
          <w:sz w:val="28"/>
          <w:shd w:val="clear" w:fill="FFFFFF"/>
        </w:rPr>
        <w:fldChar w:fldCharType="begin"/>
      </w:r>
      <w:r>
        <w:rPr>
          <w:rFonts w:ascii="Times New Roman" w:hAnsi="Times New Roman"/>
          <w:color w:val="000000"/>
          <w:sz w:val="28"/>
          <w:shd w:val="clear" w:fill="FFFFFF"/>
        </w:rPr>
        <w:instrText>HYPERLINK "https://urait.ru/bcode/444080" \t "_blank"</w:instrText>
      </w:r>
      <w:r>
        <w:rPr>
          <w:rFonts w:ascii="Times New Roman" w:hAnsi="Times New Roman"/>
          <w:color w:val="000000"/>
          <w:sz w:val="28"/>
          <w:shd w:val="clear" w:fill="FFFFFF"/>
        </w:rPr>
        <w:fldChar w:fldCharType="separate"/>
      </w:r>
      <w:r>
        <w:rPr>
          <w:rStyle w:val="C2"/>
          <w:rFonts w:ascii="Times New Roman" w:hAnsi="Times New Roman"/>
          <w:color w:val="2222CC"/>
          <w:sz w:val="28"/>
          <w:shd w:val="clear" w:fill="FFFFFF"/>
        </w:rPr>
        <w:t>https://urait.ru/bcode/444080</w:t>
      </w:r>
      <w:r>
        <w:rPr>
          <w:rFonts w:ascii="Times New Roman" w:hAnsi="Times New Roman"/>
          <w:color w:val="000000"/>
          <w:sz w:val="28"/>
          <w:shd w:val="clear" w:fill="FFFFFF"/>
        </w:rPr>
        <w:fldChar w:fldCharType="end"/>
      </w:r>
    </w:p>
    <w:p>
      <w:pPr>
        <w:widowControl w:val="0"/>
        <w:tabs>
          <w:tab w:val="left" w:pos="284" w:leader="none"/>
        </w:tabs>
        <w:spacing w:lineRule="auto" w:line="27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Конспект лекции.</w:t>
      </w:r>
    </w:p>
    <w:p>
      <w:pPr>
        <w:pStyle w:val="P1"/>
        <w:widowControl w:val="0"/>
        <w:tabs>
          <w:tab w:val="left" w:pos="284" w:leader="none"/>
        </w:tabs>
        <w:spacing w:lineRule="auto" w:line="275" w:after="0"/>
        <w:ind w:hanging="578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Дополнительная литература:</w:t>
      </w:r>
    </w:p>
    <w:p>
      <w:pPr>
        <w:pStyle w:val="P2"/>
        <w:tabs>
          <w:tab w:val="left" w:pos="284" w:leader="none"/>
        </w:tabs>
        <w:spacing w:lineRule="auto" w:line="275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Тюкавкина, Н. А.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Биоорганическая химия: [Текст]: учебник / Н. А. Тюкавкина, Ю.И. Бауков, С. Э. Зурабян. - М.: ГЭОТАР-Медиа, 2009. - 416 с. 2. Тюкавкина, Н. А.: [Текст]: руководство к лабораторным занятиям по биоорганической химии / под ред. Н. А. Тюкавкиной. - М.: Медицина, 1985, 285 с.</w:t>
      </w:r>
    </w:p>
    <w:p>
      <w:pPr>
        <w:widowControl w:val="0"/>
        <w:tabs>
          <w:tab w:val="left" w:pos="284" w:leader="none"/>
        </w:tabs>
        <w:spacing w:lineRule="auto" w:line="27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Тюкавкина, Н. А. Биоорганическая химия: [Текст]: учебник / Н.А.Тюкавкина, Ю.И.Бауков. – 6-е изд., исп.- М.: Дрофа, 2007. - 542 с.</w:t>
      </w:r>
    </w:p>
    <w:p>
      <w:pPr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8"/>
        </w:rPr>
      </w:pPr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0F67BFC"/>
    <w:multiLevelType w:val="hybridMultilevel"/>
    <w:lvl w:ilvl="0" w:tplc="FAF05B6C">
      <w:start w:val="1"/>
      <w:numFmt w:val="upperRoman"/>
      <w:suff w:val="tab"/>
      <w:lvlText w:val="%1."/>
      <w:lvlJc w:val="left"/>
      <w:pPr>
        <w:ind w:hanging="360" w:left="360"/>
        <w:tabs>
          <w:tab w:val="left" w:pos="360" w:leader="none"/>
        </w:tabs>
      </w:pPr>
      <w:rPr>
        <w:b w:val="1"/>
      </w:rPr>
    </w:lvl>
    <w:lvl w:ilvl="1" w:tplc="2ED4F2BE">
      <w:start w:val="1"/>
      <w:numFmt w:val="decimal"/>
      <w:suff w:val="tab"/>
      <w:lvlText w:val="%2."/>
      <w:lvlJc w:val="left"/>
      <w:pPr>
        <w:ind w:hanging="360" w:left="644"/>
        <w:tabs>
          <w:tab w:val="left" w:pos="644" w:leader="none"/>
        </w:tabs>
      </w:pPr>
      <w:rPr>
        <w:b w:val="0"/>
      </w:rPr>
    </w:lvl>
    <w:lvl w:ilvl="2" w:tplc="9410B582">
      <w:start w:val="1"/>
      <w:numFmt w:val="decimal"/>
      <w:suff w:val="tab"/>
      <w:lvlText w:val="%3."/>
      <w:lvlJc w:val="left"/>
      <w:pPr>
        <w:ind w:hanging="720" w:left="1080"/>
        <w:tabs>
          <w:tab w:val="left" w:pos="1080" w:leader="none"/>
        </w:tabs>
      </w:pPr>
      <w:rPr>
        <w:rFonts w:ascii="Times New Roman" w:hAnsi="Times New Roman"/>
        <w:b w:val="0"/>
      </w:rPr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">
    <w:nsid w:val="06552BD7"/>
    <w:multiLevelType w:val="hybridMultilevel"/>
    <w:lvl w:ilvl="0" w:tplc="50CC013A">
      <w:start w:val="1"/>
      <w:numFmt w:val="upperRoman"/>
      <w:suff w:val="tab"/>
      <w:lvlText w:val="%1."/>
      <w:lvlJc w:val="left"/>
      <w:pPr>
        <w:ind w:hanging="72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08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180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52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24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396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468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40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120"/>
      </w:pPr>
      <w:rPr/>
    </w:lvl>
  </w:abstractNum>
  <w:abstractNum w:abstractNumId="2">
    <w:nsid w:val="6B44572A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3">
    <w:nsid w:val="6FF72959"/>
    <w:multiLevelType w:val="hybridMultilevel"/>
    <w:lvl w:ilvl="0" w:tplc="0E541828">
      <w:start w:val="2"/>
      <w:numFmt w:val="upperRoman"/>
      <w:suff w:val="tab"/>
      <w:lvlText w:val="%1."/>
      <w:lvlJc w:val="left"/>
      <w:pPr>
        <w:ind w:hanging="72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08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180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52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24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396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468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40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120"/>
      </w:pPr>
      <w:rPr/>
    </w:lvl>
  </w:abstractNum>
  <w:abstractNum w:abstractNumId="4">
    <w:nsid w:val="1F867CAC"/>
    <w:multiLevelType w:val="hybridMultilevel"/>
    <w:lvl w:ilvl="0" w:tplc="761D0A06">
      <w:start w:val="1"/>
      <w:numFmt w:val="decimal"/>
      <w:suff w:val="tab"/>
      <w:lvlText w:val="%1."/>
      <w:lvlJc w:val="left"/>
      <w:pPr>
        <w:ind w:hanging="354" w:left="720"/>
      </w:pPr>
      <w:rPr/>
    </w:lvl>
    <w:lvl w:ilvl="1" w:tplc="334EC05A">
      <w:start w:val="1"/>
      <w:numFmt w:val="decimal"/>
      <w:suff w:val="tab"/>
      <w:lvlText w:val="%2."/>
      <w:lvlJc w:val="left"/>
      <w:pPr>
        <w:ind w:hanging="354" w:left="1440"/>
      </w:pPr>
      <w:rPr/>
    </w:lvl>
    <w:lvl w:ilvl="2" w:tplc="2979C777">
      <w:start w:val="1"/>
      <w:numFmt w:val="decimal"/>
      <w:suff w:val="tab"/>
      <w:lvlText w:val="%3."/>
      <w:lvlJc w:val="left"/>
      <w:pPr>
        <w:ind w:hanging="354" w:left="2160"/>
      </w:pPr>
      <w:rPr/>
    </w:lvl>
    <w:lvl w:ilvl="3" w:tplc="24354CAC">
      <w:start w:val="1"/>
      <w:numFmt w:val="decimal"/>
      <w:suff w:val="tab"/>
      <w:lvlText w:val="%4."/>
      <w:lvlJc w:val="left"/>
      <w:pPr>
        <w:ind w:hanging="354" w:left="2880"/>
      </w:pPr>
      <w:rPr/>
    </w:lvl>
    <w:lvl w:ilvl="4" w:tplc="37DCD059">
      <w:start w:val="1"/>
      <w:numFmt w:val="decimal"/>
      <w:suff w:val="tab"/>
      <w:lvlText w:val="%5."/>
      <w:lvlJc w:val="left"/>
      <w:pPr>
        <w:ind w:hanging="354" w:left="3600"/>
      </w:pPr>
      <w:rPr/>
    </w:lvl>
    <w:lvl w:ilvl="5" w:tplc="3CBFF576">
      <w:start w:val="1"/>
      <w:numFmt w:val="decimal"/>
      <w:suff w:val="tab"/>
      <w:lvlText w:val="%6."/>
      <w:lvlJc w:val="left"/>
      <w:pPr>
        <w:ind w:hanging="354" w:left="4320"/>
      </w:pPr>
      <w:rPr/>
    </w:lvl>
    <w:lvl w:ilvl="6" w:tplc="518B890C">
      <w:start w:val="1"/>
      <w:numFmt w:val="decimal"/>
      <w:suff w:val="tab"/>
      <w:lvlText w:val="%7."/>
      <w:lvlJc w:val="left"/>
      <w:pPr>
        <w:ind w:hanging="354" w:left="5040"/>
      </w:pPr>
      <w:rPr/>
    </w:lvl>
    <w:lvl w:ilvl="7" w:tplc="53B8ADCA">
      <w:start w:val="1"/>
      <w:numFmt w:val="decimal"/>
      <w:suff w:val="tab"/>
      <w:lvlText w:val="%8."/>
      <w:lvlJc w:val="left"/>
      <w:pPr>
        <w:ind w:hanging="354" w:left="5760"/>
      </w:pPr>
      <w:rPr/>
    </w:lvl>
    <w:lvl w:ilvl="8" w:tplc="5FA2AF7F">
      <w:start w:val="1"/>
      <w:numFmt w:val="decimal"/>
      <w:suff w:val="tab"/>
      <w:lvlText w:val="%9."/>
      <w:lvlJc w:val="left"/>
      <w:pPr>
        <w:ind w:hanging="354" w:left="6480"/>
      </w:pPr>
      <w:rPr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List Paragraph"/>
    <w:basedOn w:val="P0"/>
    <w:qFormat/>
    <w:pPr>
      <w:ind w:left="720"/>
      <w:contextualSpacing w:val="1"/>
    </w:pPr>
    <w:rPr/>
  </w:style>
  <w:style w:type="paragraph" w:styleId="P2">
    <w:name w:val="Body Text Indent"/>
    <w:basedOn w:val="P0"/>
    <w:pPr>
      <w:spacing w:lineRule="auto" w:line="360" w:after="200"/>
      <w:jc w:val="center"/>
    </w:pPr>
    <w:rPr>
      <w:sz w:val="26"/>
    </w:rPr>
  </w:style>
  <w:style w:type="character" w:styleId="C0" w:default="1">
    <w:name w:val="Default Paragraph Font"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wmi-callto"/>
    <w:basedOn w:val="C0"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