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5FDE51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keepNext w:val="1"/>
        <w:spacing w:lineRule="auto" w:line="240" w:after="0" w:beforeAutospacing="0" w:afterAutospacing="0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амостоятельная работа</w:t>
      </w:r>
      <w:r>
        <w:rPr>
          <w:rFonts w:ascii="Times New Roman" w:hAnsi="Times New Roman"/>
          <w:b w:val="1"/>
          <w:sz w:val="28"/>
        </w:rPr>
        <w:t xml:space="preserve"> к</w:t>
      </w:r>
      <w:bookmarkStart w:id="0" w:name="_GoBack"/>
      <w:bookmarkEnd w:id="0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 xml:space="preserve">одулю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“</w:t>
      </w:r>
      <w:bookmarkStart w:id="1" w:name="_dx_frag_StartFragment"/>
      <w:bookmarkEnd w:id="1"/>
      <w:r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  <w:t>Состав и внутренняя среда живых организмов</w:t>
      </w:r>
      <w:r>
        <w:rPr>
          <w:rFonts w:ascii="Times New Roman" w:hAnsi="Times New Roman"/>
          <w:b w:val="1"/>
          <w:sz w:val="28"/>
        </w:rPr>
        <w:t xml:space="preserve">” </w:t>
      </w:r>
      <w:r>
        <w:rPr>
          <w:rFonts w:ascii="Times New Roman" w:hAnsi="Times New Roman"/>
          <w:b w:val="1"/>
          <w:sz w:val="28"/>
        </w:rPr>
        <w:t xml:space="preserve">для студентов 1 курса </w:t>
      </w:r>
      <w:r>
        <w:rPr>
          <w:rFonts w:ascii="Times New Roman" w:hAnsi="Times New Roman"/>
          <w:b w:val="1"/>
          <w:sz w:val="28"/>
        </w:rPr>
        <w:t>ле</w:t>
      </w:r>
      <w:r>
        <w:rPr>
          <w:rFonts w:ascii="Times New Roman" w:hAnsi="Times New Roman"/>
          <w:b w:val="1"/>
          <w:sz w:val="28"/>
        </w:rPr>
        <w:t>чебного</w:t>
      </w:r>
      <w:r>
        <w:rPr>
          <w:rFonts w:ascii="Times New Roman" w:hAnsi="Times New Roman"/>
          <w:b w:val="1"/>
          <w:sz w:val="28"/>
        </w:rPr>
        <w:t xml:space="preserve"> факультета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Тема: </w:t>
      </w:r>
      <w:r>
        <w:rPr>
          <w:rFonts w:ascii="Times New Roman" w:hAnsi="Times New Roman"/>
          <w:sz w:val="28"/>
        </w:rPr>
        <w:t xml:space="preserve">Химические свойства и биологическая роль биогенных элементов. </w:t>
      </w:r>
    </w:p>
    <w:p>
      <w:pPr>
        <w:keepNext w:val="1"/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b w:val="1"/>
          <w:sz w:val="28"/>
        </w:rPr>
      </w:pPr>
    </w:p>
    <w:p>
      <w:pPr>
        <w:keepNext w:val="1"/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рефератов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Слюна как раствор электролитов. Натриево-калиевый коэффициент слюны в норме, при кариесе и альвеолярной пиорее. Роль электролитного гомеостаза в биологических системах.</w:t>
      </w:r>
    </w:p>
    <w:p>
      <w:pPr>
        <w:spacing w:lineRule="auto" w:line="240" w:after="0" w:beforeAutospacing="0" w:afterAutospacing="0"/>
        <w:ind w:left="708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Буферные системы слюны. Кислотно-основные свойства слюны, десневой жидкости, зубного ликвора. Понятие о кислотно-основном гомеостазе организма.</w:t>
      </w:r>
    </w:p>
    <w:p>
      <w:pPr>
        <w:spacing w:lineRule="auto" w:line="240" w:after="0" w:beforeAutospacing="0" w:afterAutospacing="0"/>
        <w:ind w:left="708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Химия костной ткани. Реакции, лежащие в основе образования неорганического вещества костной ткани – гидроксиапатита. Гидроксидфосфат кальция и фторидфосфат кальция, неорганические вещества костной ткани и зубной эмали. Механизм кальцификации. Механизм функционирования кальциевого буфера. Явление изоморфизма: замещение в гидроксиапатите гидроксид-ионов на ионы фтора, ионов кальция на ионы стронция. </w:t>
      </w:r>
    </w:p>
    <w:p>
      <w:pPr>
        <w:spacing w:lineRule="auto" w:line="240" w:after="0" w:beforeAutospacing="0" w:afterAutospacing="0"/>
        <w:ind w:left="708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Химический состав зубной эмали и дентина. Схватывание гипса. Альгинатные слепочные материалы.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Обнаружение мышьяка в биологических объектах (проба Марша). Фосфат-цементы.</w:t>
      </w: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Соединения элементов VIA-группы как лекарственные средства. Медико-биологическое значение элементов VIA-группы. Селен как элемент, способствующий проявлению кариеса.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Медико-биологическая характеристика фторапатита в сравнении с гидроксиапатитом. Фторсодержащие зубные пасты как средство против кариеса. Фторсодержащие стоматологические лаки.</w:t>
      </w:r>
    </w:p>
    <w:p>
      <w:pPr>
        <w:spacing w:lineRule="auto" w:line="240" w:after="0" w:beforeAutospacing="0" w:afterAutospacing="0"/>
        <w:ind w:left="708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сплавах и их свойствах, понятие о твёрдых растворах. Сплавы палладия, нержавеющие сплавы (стали) и их применение в ортопедической стоматологии.</w:t>
      </w:r>
    </w:p>
    <w:p>
      <w:pPr>
        <w:spacing w:lineRule="auto" w:line="240" w:after="0" w:beforeAutospacing="0" w:afterAutospacing="0"/>
        <w:ind w:left="708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Сплавы меди, серебра и золота в стоматологической практике. Серебрение корневых каналов и кариозных полостей зуба. Медные и серебряные цементы.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Сплавы на основе благородных металлов, Со, Ni, Cr, Ti, Cu, Fe и их применение в ортопедической и хирургической стоматологии.</w:t>
      </w:r>
    </w:p>
    <w:p>
      <w:pPr>
        <w:spacing w:lineRule="auto" w:line="240" w:after="0" w:beforeAutospacing="0" w:afterAutospacing="0"/>
        <w:ind w:left="708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возникновения электродного потенциала. Гальванический элемент. ЭДС гальванического элемента. Возникновение ЭДС в полости рта при металлопротезировании (гальванические процессы в полости рта). Электрохимия и репарация костной ткани.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Коррозия химическая и электрохимическая. Коррозионная стойкость конструкционных стоматологических материалов в полости рта.</w:t>
      </w:r>
    </w:p>
    <w:p>
      <w:pPr>
        <w:spacing w:lineRule="auto" w:line="240" w:after="0" w:beforeAutospacing="0" w:afterAutospacing="0"/>
        <w:ind w:left="708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Цинк-сульфатные цементы, цинк-фосфатные цементы, цинкоксидэвгенольные цементы. Кадмий как токсикант окружающей среды.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Титано-циркониевое покрытие. Разделительные лаки для покрытия металлических зубных протезов. Металлокерамические материалы.</w:t>
      </w:r>
    </w:p>
    <w:p>
      <w:pPr>
        <w:spacing w:lineRule="auto" w:line="240" w:after="0" w:beforeAutospacing="0" w:afterAutospacing="0"/>
        <w:ind w:left="708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Стоматологические пломбировочные материалы. Слепочные материалы.</w:t>
      </w:r>
    </w:p>
    <w:p>
      <w:pPr>
        <w:spacing w:lineRule="auto" w:line="240" w:after="0" w:beforeAutospacing="0" w:afterAutospacing="0"/>
        <w:ind w:left="708"/>
        <w:rPr>
          <w:rFonts w:ascii="Times New Roman" w:hAnsi="Times New Roman"/>
          <w:sz w:val="28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Зависимость свойств силикатных и боросиликатн6ых стекол от состава, их использование в медицине. Алюмосиликаты. Силикат-цементы.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Правила оформления рефератов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реферата: титульный лист, план, текст, список литературы. </w:t>
      </w: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Титульный лист: название ВУЗа, название кафедры, тема реферата, Ф.И.О. студента, Ф.И.О. преподавателя, год.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должен соответствовать плану.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списке литературы необходимо полностью указать выходные данные (ГОСТ 7.1–2003).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Ссылки на первоисточники в тексте заключаются в квадратные скобки с указанием номера из списка библиографии.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страницы: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1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Поля: левое 3 см, правое 1,5 см, верхнее 1,5 см, нижнее 2 см;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</w:rPr>
      </w:pPr>
    </w:p>
    <w:p>
      <w:pPr>
        <w:numPr>
          <w:ilvl w:val="1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Выравнивание текста: по ширине;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1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Шрифт: гарнитура Times New Roman, 14 pt, межстрочный интервал 1,5 pt;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1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строка: отступ. 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 должен быть набран в текстовом редакторе Microsoft Word в формате *.doс или *.rtf.</w:t>
      </w: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Табличный материал должен быть представлен без использования сканирования.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Содержащиеся в статье формулы помещаются в текст с использованием формульных редакторов Microsoft Eguation или MathType5.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Индексы в формулах: верхний для зарядов ионов, нижний для указания количества атомов.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Рефераты, оформленные без соблюдения данных требований, к рассмотрению не принимаются.</w:t>
      </w:r>
    </w:p>
    <w:p>
      <w:pPr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0C72CEB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0419000D">
      <w:start w:val="1"/>
      <w:numFmt w:val="bullet"/>
      <w:suff w:val="tab"/>
      <w:lvlText w:val=""/>
      <w:lvlJc w:val="left"/>
      <w:pPr>
        <w:ind w:hanging="360" w:left="1080"/>
      </w:pPr>
      <w:rPr>
        <w:rFonts w:ascii="Wingdings" w:hAnsi="Wingdings"/>
      </w:rPr>
    </w:lvl>
    <w:lvl w:ilvl="2" w:tplc="041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37184F4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612E5CC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