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4E31E2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firstLine="709"/>
        <w:jc w:val="center"/>
        <w:rPr>
          <w:sz w:val="28"/>
        </w:rPr>
      </w:pPr>
      <w:r>
        <w:rPr>
          <w:sz w:val="28"/>
        </w:rPr>
        <w:t xml:space="preserve">Лабораторное занятие № 2.2 </w:t>
      </w:r>
    </w:p>
    <w:p>
      <w:pPr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Тема 2.2: «Карбоновые кислоты и их функциональные производные. Липиды»</w:t>
      </w:r>
    </w:p>
    <w:p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Цель занятия: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Закрепить знания закономерностей и особенностей  в химическом поведении карбоновых кислот и их производных, обуславливающих протекание многих биологических процессов.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Закрепить знания о строении  липидов - структурных компонентах клетки и биологических мембран.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b w:val="1"/>
          <w:sz w:val="28"/>
        </w:rPr>
        <w:t xml:space="preserve">. </w:t>
      </w:r>
      <w:r>
        <w:rPr>
          <w:sz w:val="28"/>
        </w:rPr>
        <w:t>Уметь проводить некоторые характерные реакции на кислоты и липиды.</w:t>
      </w:r>
    </w:p>
    <w:p>
      <w:pPr>
        <w:ind w:firstLine="709"/>
        <w:jc w:val="both"/>
        <w:rPr>
          <w:sz w:val="28"/>
          <w:u w:val="single"/>
        </w:rPr>
      </w:pPr>
      <w:r>
        <w:rPr>
          <w:i w:val="1"/>
          <w:sz w:val="28"/>
          <w:u w:val="single"/>
        </w:rPr>
        <w:t>Необходимый исходный уровень</w:t>
      </w:r>
      <w:r>
        <w:rPr>
          <w:sz w:val="28"/>
          <w:u w:val="single"/>
        </w:rPr>
        <w:t>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Из школьного курса студент должен знать строение глицерола, строение ТАГ, гидролиз ТАГ, образование сложных эфиров.</w:t>
      </w:r>
    </w:p>
    <w:p>
      <w:pPr>
        <w:ind w:firstLine="709"/>
        <w:jc w:val="both"/>
        <w:rPr>
          <w:sz w:val="28"/>
        </w:rPr>
      </w:pPr>
      <w:r>
        <w:rPr>
          <w:i w:val="1"/>
          <w:sz w:val="28"/>
          <w:u w:val="single"/>
        </w:rPr>
        <w:t>Основные понятия темы:</w:t>
      </w:r>
      <w:r>
        <w:rPr>
          <w:i w:val="1"/>
          <w:sz w:val="28"/>
        </w:rPr>
        <w:t xml:space="preserve"> </w:t>
      </w:r>
      <w:r>
        <w:rPr>
          <w:sz w:val="28"/>
        </w:rPr>
        <w:t>высшие карбоновые кислоты, входящие в состав липидов. Липиды. Классификация липидов. Представители (ТАГ, ФЛ, ХС). Функции липидов.</w:t>
      </w:r>
    </w:p>
    <w:p>
      <w:pPr>
        <w:widowControl w:val="0"/>
        <w:tabs>
          <w:tab w:val="left" w:pos="284" w:leader="none"/>
        </w:tabs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 xml:space="preserve">Вопросы  к занятию</w:t>
      </w:r>
    </w:p>
    <w:p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Карбоновые кислоты, определение, классификация, представители.</w:t>
      </w:r>
    </w:p>
    <w:p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2.Электронное строение карбоксильной группы. Реакционные центры  карбоновых кислот.</w:t>
      </w:r>
    </w:p>
    <w:p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Физические и химические свойства карбоновых кислот: образование сложных эфиров, ангидридов, тиоэфиров; строение и биологическая роль НSКоА; схема образования и использования в организме ацетил КоА; образование ацетилхолина, ацетоацетил-КоА, ГМГ-КоА, малонил КоА .</w:t>
      </w:r>
    </w:p>
    <w:p>
      <w:pPr>
        <w:ind w:firstLine="709"/>
        <w:jc w:val="both"/>
        <w:rPr>
          <w:color w:val="000000"/>
          <w:sz w:val="28"/>
        </w:rPr>
      </w:pPr>
      <w:r>
        <w:rPr>
          <w:sz w:val="28"/>
        </w:rPr>
        <w:t>4.</w:t>
      </w:r>
      <w:r>
        <w:rPr>
          <w:color w:val="000000"/>
          <w:sz w:val="28"/>
        </w:rPr>
        <w:t xml:space="preserve">Основные природные ВЖК, входящие в состав липидов: пальмитиновая, стеариновая, олеиновая, линолевая, линоленовая,  арахидоновая, ώ-3 ненасыщенные ВЖК (ЭПК, ДГК) биологическая роль ВЖК. 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 xml:space="preserve">5. Липиды. Определение,  классификация  биологическая роль.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Омыляемые липиды, классификация липидов с примерами (обязательно указать  и назвать представители).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7. Понятие о перекисном окислении липидов на примере олеиновой кислоты (фрагмента в составе ФЛ).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 Понятие о β-окислении ВЖК (схема на примере пальмитиновой и стеариновой кислот). Биологическая роль этого процесса.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9. Фосфолипиды, общая характеристика состава и строения, представители, биологическая роль. Схема биосинтеза ФЛ и  гидролиз.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10. Неомыляемые липиды. Строение ХС. Схема образования эфира ХС. Биологическая роль ХС.</w:t>
      </w:r>
    </w:p>
    <w:p>
      <w:pPr>
        <w:ind w:firstLine="709"/>
        <w:jc w:val="both"/>
        <w:rPr>
          <w:color w:val="000000"/>
          <w:sz w:val="28"/>
        </w:rPr>
      </w:pP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Методические указания к практической  части занятия</w:t>
      </w:r>
    </w:p>
    <w:p>
      <w:pPr>
        <w:ind w:firstLine="709"/>
        <w:jc w:val="both"/>
        <w:rPr>
          <w:color w:val="000000"/>
          <w:sz w:val="28"/>
        </w:rPr>
      </w:pPr>
    </w:p>
    <w:p>
      <w:pPr>
        <w:ind w:firstLine="709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Хронокарта занятия</w:t>
      </w:r>
    </w:p>
    <w:p>
      <w:pPr>
        <w:ind w:firstLine="709"/>
        <w:jc w:val="both"/>
        <w:rPr>
          <w:i w:val="1"/>
          <w:color w:val="000000"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jc w:val="center"/>
        </w:trPr>
        <w:tc>
          <w:tcPr>
            <w:tcW w:w="635" w:type="dxa"/>
          </w:tcPr>
          <w:p>
            <w:pPr>
              <w:ind w:firstLine="3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4745" w:type="dxa"/>
          </w:tcPr>
          <w:p>
            <w:pPr>
              <w:ind w:firstLine="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Этапы и содержание занятия </w:t>
            </w:r>
          </w:p>
        </w:tc>
        <w:tc>
          <w:tcPr>
            <w:tcW w:w="2527" w:type="dxa"/>
          </w:tcPr>
          <w:p>
            <w:pPr>
              <w:ind w:firstLine="7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Используемые методы (в т.ч., интерактивные)</w:t>
            </w:r>
          </w:p>
        </w:tc>
        <w:tc>
          <w:tcPr>
            <w:tcW w:w="1556" w:type="dxa"/>
          </w:tcPr>
          <w:p>
            <w:pPr>
              <w:ind w:firstLine="9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Время, мин.</w:t>
            </w:r>
          </w:p>
        </w:tc>
      </w:tr>
      <w:tr>
        <w:trPr>
          <w:jc w:val="center"/>
        </w:trPr>
        <w:tc>
          <w:tcPr>
            <w:tcW w:w="635" w:type="dxa"/>
          </w:tcPr>
          <w:p>
            <w:pPr>
              <w:ind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>
            <w:pPr>
              <w:ind w:firstLine="709"/>
              <w:jc w:val="center"/>
              <w:rPr>
                <w:color w:val="000000"/>
                <w:sz w:val="28"/>
              </w:rPr>
            </w:pPr>
          </w:p>
          <w:p>
            <w:pPr>
              <w:ind w:firstLine="709"/>
              <w:jc w:val="center"/>
              <w:rPr>
                <w:color w:val="000000"/>
                <w:sz w:val="28"/>
              </w:rPr>
            </w:pPr>
          </w:p>
          <w:p>
            <w:pPr>
              <w:ind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 </w:t>
            </w:r>
          </w:p>
        </w:tc>
        <w:tc>
          <w:tcPr>
            <w:tcW w:w="4745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Организационный момент.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Объявление темы, цели занятия, выяснение неясных вопросов.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Устный опрос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контроля на выходе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Вводная беседа.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Целевая установка.</w:t>
            </w:r>
          </w:p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ind w:firstLine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>
            <w:pPr>
              <w:ind w:firstLine="119"/>
              <w:jc w:val="center"/>
              <w:rPr>
                <w:color w:val="000000"/>
                <w:sz w:val="28"/>
              </w:rPr>
            </w:pPr>
          </w:p>
          <w:p>
            <w:pPr>
              <w:ind w:firstLine="119"/>
              <w:jc w:val="center"/>
              <w:rPr>
                <w:color w:val="000000"/>
                <w:sz w:val="28"/>
              </w:rPr>
            </w:pPr>
          </w:p>
          <w:p>
            <w:pPr>
              <w:ind w:firstLine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  <w:p>
            <w:pPr>
              <w:ind w:firstLine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>
        <w:trPr>
          <w:jc w:val="center"/>
        </w:trPr>
        <w:tc>
          <w:tcPr>
            <w:tcW w:w="635" w:type="dxa"/>
          </w:tcPr>
          <w:p>
            <w:pPr>
              <w:ind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4745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лабораторных работ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демонстрационное</w:t>
            </w:r>
          </w:p>
        </w:tc>
        <w:tc>
          <w:tcPr>
            <w:tcW w:w="1556" w:type="dxa"/>
            <w:vAlign w:val="center"/>
          </w:tcPr>
          <w:p>
            <w:pPr>
              <w:ind w:firstLine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  <w:tr>
        <w:trPr>
          <w:jc w:val="center"/>
        </w:trPr>
        <w:tc>
          <w:tcPr>
            <w:tcW w:w="635" w:type="dxa"/>
          </w:tcPr>
          <w:p>
            <w:pPr>
              <w:ind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4745" w:type="dxa"/>
            <w:vAlign w:val="center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Заключительная часть занятия: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Обобщение, выводы по теме.</w:t>
            </w:r>
          </w:p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Контроль качества формируемых компетенций (их элементов) студентов по теме занятия.</w:t>
            </w:r>
          </w:p>
          <w:p>
            <w:pPr>
              <w:rPr>
                <w:color w:val="000000"/>
                <w:sz w:val="28"/>
              </w:rPr>
            </w:pPr>
          </w:p>
        </w:tc>
        <w:tc>
          <w:tcPr>
            <w:tcW w:w="2527" w:type="dxa"/>
            <w:vAlign w:val="center"/>
          </w:tcPr>
          <w:p>
            <w:pPr>
              <w:ind w:firstLine="709"/>
              <w:jc w:val="center"/>
              <w:rPr>
                <w:color w:val="000000"/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ind w:firstLine="11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</w:tr>
    </w:tbl>
    <w:p>
      <w:pPr>
        <w:pStyle w:val="P2"/>
        <w:shd w:val="clear" w:fill="FFFFFF"/>
        <w:tabs>
          <w:tab w:val="left" w:pos="284" w:leader="none"/>
          <w:tab w:val="left" w:pos="426" w:leader="none"/>
        </w:tabs>
        <w:spacing w:lineRule="auto" w:line="360" w:after="160" w:beforeAutospacing="0" w:afterAutospacing="0"/>
        <w:ind w:firstLine="709" w:left="0"/>
        <w:rPr>
          <w:b w:val="1"/>
        </w:rPr>
      </w:pPr>
    </w:p>
    <w:p>
      <w:pPr>
        <w:ind w:firstLine="709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Лабораторная работа №</w:t>
      </w:r>
      <w:r>
        <w:rPr>
          <w:color w:val="000000"/>
          <w:sz w:val="28"/>
        </w:rPr>
        <w:t xml:space="preserve">1 </w:t>
      </w:r>
      <w:r>
        <w:rPr>
          <w:b w:val="1"/>
          <w:color w:val="000000"/>
          <w:sz w:val="28"/>
        </w:rPr>
        <w:t>Гидролиз спиртового раствора мыла.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Материалы и реактивы: хозяйственное мыло, этанол, фенолфталеин, пробирки, пипетки, стеклянные палочки.</w:t>
      </w:r>
    </w:p>
    <w:p>
      <w:pPr>
        <w:ind w:firstLine="709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Ход работы: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 пробирку поместить небольшой кусочек мыла, добавить 5 капель этанола и 1 каплю фенолфталеина. Смесь перемешать стеклянной палочкой. Смесь не окрашивается, что указывает на то, что мыло не содержит свободной щелочи реакция среды близкая к нейтральной. К смеси добавить 1мл воды. После добавления воды смесь окрашивается в малиновый цвет, интенсивность окрашивания  зависит от количества добавляемой  по каплям воды. Следовательно, при добавлении воды происходит гидролиз мыла с образованием свободной щелочи, благодаря чему происходит изменение окраски индикатора фенолфталеина.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</w:t>
      </w:r>
    </w:p>
    <w:p>
      <w:pPr>
        <w:ind w:firstLine="709"/>
        <w:rPr>
          <w:sz w:val="28"/>
          <w:u w:val="single"/>
        </w:rPr>
      </w:pPr>
    </w:p>
    <w:p>
      <w:pPr>
        <w:ind w:firstLine="709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Вопросы для самоконтроля</w:t>
      </w:r>
    </w:p>
    <w:p>
      <w:pPr>
        <w:ind w:firstLine="709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 xml:space="preserve">1.  Напишите следующие  уравнения реакций</w:t>
      </w:r>
      <w:r>
        <w:rPr>
          <w:color w:val="000000"/>
          <w:sz w:val="28"/>
        </w:rPr>
        <w:t>: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образование 1-пальмитоил-2-олеоил-3-стеароил глицерина (гидролиз);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образование 1-олеоил-2-линоленоил-3-стеароил глицерина (омыление);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образование 1-олеоил-2-линооил-3-линоленоил глицерина;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>омыление 1-олеоил-2-линооил-3-линоленоил глицерина;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>взаимодействия с йодом триолеоилглицерина, значение этой реакции;</w:t>
      </w:r>
    </w:p>
    <w:p>
      <w:pPr>
        <w:numPr>
          <w:ilvl w:val="0"/>
          <w:numId w:val="1"/>
        </w:numPr>
        <w:ind w:hanging="114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окисление триолеоилглицерина кислородом воздуха. </w:t>
      </w:r>
    </w:p>
    <w:p>
      <w:pPr>
        <w:ind w:firstLine="709"/>
        <w:jc w:val="both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2. Напишите уравнения реакций образования фосфатидной кислоты и ФЛ, строения внутренних солей, реакций гидролиза (в кислой и щелочной средах) для каждого из соединений: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фосфатидилэтаноламина (кефалина), фосфатидилсерина, фосфатидилхолина (лецитина), фосфатидилинозитол.</w:t>
      </w:r>
    </w:p>
    <w:p>
      <w:pPr>
        <w:ind w:firstLine="709"/>
        <w:rPr>
          <w:b w:val="1"/>
          <w:color w:val="000000"/>
          <w:sz w:val="28"/>
        </w:rPr>
      </w:pPr>
    </w:p>
    <w:p>
      <w:pPr>
        <w:ind w:firstLine="709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Упражнения: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Написать в тетради строение всех насыщенных и ненасыщенных ВЖК. Для всех кислот написать эмпирическую формулу и конформационную структуру. Биологическая  роль ненасыщенных ВЖК (ЭПК, ДГК).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Написать следующие уравнения химических реакций: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образование амида  глютаминовой и аспарагиновой аминокислот, 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биологическую роль   образования амидов в организме;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б) показать в виде схемы пути образования и пути использования ацетил КоА;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в) написать схему реакции образования ацетил - КоА из ПВК (пировиноградной кислоты);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г) написать реакции образования ацетоацетил- КоА, ГМГ-КоА, малонил-КоА.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Показать схему ферментативного гидролиза ТАГ в  желудочно-кишечном тракте.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Понятие о ПОЛ. Схема ПОЛ олеиновой кислоты в составе ФЛ мембран.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Написать схему образования эфира ХС с олеиновой кислотой.</w:t>
      </w:r>
    </w:p>
    <w:p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>
      <w:pPr>
        <w:spacing w:lineRule="auto" w:line="276" w:beforeAutospacing="0" w:afterAutospacing="0"/>
        <w:jc w:val="center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Основная учебная  литература: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val="000000"/>
          <w:sz w:val="27"/>
          <w:shd w:val="clear" w:fill="FFFFFF"/>
        </w:rPr>
        <w:t>Ершов, Ю. А.  Биохимия человека : учебник для академического бакалавриата / Ю. А. Ершов. — 2-е изд., перераб. и доп. — Москва : Издательство Юрайт, 2019. — 374 с. — (Высшее образование). — ISBN </w:t>
      </w:r>
      <w:r>
        <w:rPr>
          <w:rStyle w:val="C4"/>
          <w:color w:val="000000"/>
          <w:sz w:val="27"/>
          <w:shd w:val="clear" w:fill="FFFFFF"/>
        </w:rPr>
        <w:t>978-5-534-02577-4</w:t>
      </w:r>
      <w:r>
        <w:rPr>
          <w:color w:val="000000"/>
          <w:sz w:val="27"/>
          <w:shd w:val="clear" w:fill="FFFFFF"/>
        </w:rPr>
        <w:t>. — Текст : электронный // Образовательная платформа Юрайт [сайт]. — URL: </w:t>
      </w:r>
      <w:r>
        <w:rPr>
          <w:color w:val="000000"/>
          <w:sz w:val="27"/>
          <w:shd w:val="clear" w:fill="FFFFFF"/>
        </w:rPr>
        <w:fldChar w:fldCharType="begin"/>
      </w:r>
      <w:r>
        <w:rPr>
          <w:color w:val="000000"/>
          <w:sz w:val="27"/>
          <w:shd w:val="clear" w:fill="FFFFFF"/>
        </w:rPr>
        <w:instrText>HYPERLINK "https://urait.ru/bcode/444080" \t "_blank"</w:instrText>
      </w:r>
      <w:r>
        <w:rPr>
          <w:color w:val="000000"/>
          <w:sz w:val="27"/>
          <w:shd w:val="clear" w:fill="FFFFFF"/>
        </w:rPr>
        <w:fldChar w:fldCharType="separate"/>
      </w:r>
      <w:r>
        <w:rPr>
          <w:rStyle w:val="C2"/>
          <w:color w:val="2222CC"/>
          <w:sz w:val="27"/>
          <w:shd w:val="clear" w:fill="FFFFFF"/>
        </w:rPr>
        <w:t>https://urait.ru/bcode/444080</w:t>
      </w:r>
      <w:r>
        <w:rPr>
          <w:rStyle w:val="C2"/>
          <w:color w:val="2222CC"/>
          <w:sz w:val="27"/>
          <w:shd w:val="clear" w:fill="FFFFFF"/>
        </w:rPr>
        <w:fldChar w:fldCharType="end"/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2. Конспект лекции.</w:t>
      </w:r>
    </w:p>
    <w:p>
      <w:pPr>
        <w:pStyle w:val="P2"/>
        <w:widowControl w:val="0"/>
        <w:tabs>
          <w:tab w:val="left" w:pos="284" w:leader="none"/>
        </w:tabs>
        <w:spacing w:lineRule="auto" w:line="276" w:beforeAutospacing="0" w:afterAutospacing="0"/>
        <w:ind w:hanging="578"/>
        <w:jc w:val="center"/>
        <w:rPr>
          <w:sz w:val="28"/>
          <w:u w:val="single"/>
        </w:rPr>
      </w:pPr>
      <w:r>
        <w:rPr>
          <w:sz w:val="28"/>
          <w:u w:val="single"/>
        </w:rPr>
        <w:t>Дополнительная литература:</w:t>
      </w:r>
    </w:p>
    <w:p>
      <w:pPr>
        <w:pStyle w:val="P1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1. Тюкавкина, Н. А.</w:t>
      </w:r>
      <w:r>
        <w:rPr>
          <w:b w:val="1"/>
          <w:sz w:val="28"/>
        </w:rPr>
        <w:t xml:space="preserve"> </w:t>
      </w:r>
      <w:r>
        <w:rPr>
          <w:sz w:val="28"/>
        </w:rPr>
        <w:t>Биоорганическая химия: [Текст]: учебник / Н. А. Тюкавкина, Ю.И. Бауков, С. Э. Зурабян. - М.: ГЭОТАР-Медиа, 2009. - 416 с. 2. Тюкавкина, Н. А.: [Текст]: руководство к лабораторным занятиям по биоорганической химии / под ред. Н. А. Тюкавкиной. - М.: Медицина, 1985, 285 с.</w:t>
      </w:r>
    </w:p>
    <w:p>
      <w:pPr>
        <w:widowControl w:val="0"/>
        <w:tabs>
          <w:tab w:val="left" w:pos="284" w:leader="none"/>
        </w:tabs>
        <w:spacing w:lineRule="auto" w:line="276" w:beforeAutospacing="0" w:afterAutospacing="0"/>
        <w:jc w:val="both"/>
        <w:rPr>
          <w:sz w:val="28"/>
        </w:rPr>
      </w:pPr>
      <w:r>
        <w:rPr>
          <w:sz w:val="28"/>
        </w:rPr>
        <w:t>3. Тюкавкина, Н. А. Биоорганическая химия: [Текст]: учебник / Н.А.Тюкавкина, Ю.И.Бауков. – 6-е изд., исп.- М.: Дрофа, 2007. - 542 с.</w:t>
      </w:r>
    </w:p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AAB4157"/>
    <w:multiLevelType w:val="hybridMultilevel"/>
    <w:lvl w:ilvl="0" w:tplc="F7D0823C">
      <w:start w:val="1"/>
      <w:numFmt w:val="bullet"/>
      <w:suff w:val="tab"/>
      <w:lvlText w:val="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Body Text Indent"/>
    <w:basedOn w:val="P0"/>
    <w:link w:val="C3"/>
    <w:pPr>
      <w:spacing w:lineRule="auto" w:line="360" w:beforeAutospacing="0" w:afterAutospacing="0"/>
      <w:jc w:val="center"/>
    </w:pPr>
    <w:rPr>
      <w:sz w:val="26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Основной текст с отступом Знак"/>
    <w:basedOn w:val="C0"/>
    <w:link w:val="P1"/>
    <w:rPr>
      <w:sz w:val="26"/>
    </w:rPr>
  </w:style>
  <w:style w:type="character" w:styleId="C4">
    <w:name w:val="wmi-callto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