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598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i w:val="1"/>
          <w:caps w:val="1"/>
          <w:sz w:val="28"/>
        </w:rPr>
      </w:pPr>
      <w:r>
        <w:rPr>
          <w:b w:val="1"/>
          <w:caps w:val="1"/>
          <w:sz w:val="28"/>
        </w:rPr>
        <w:t>ЗАНЯТИЕ 3</w:t>
      </w:r>
    </w:p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 xml:space="preserve">Тема 3.3  «</w:t>
      </w:r>
      <w:r>
        <w:rPr>
          <w:b w:val="1"/>
          <w:caps w:val="1"/>
          <w:sz w:val="28"/>
        </w:rPr>
        <w:t>АЭРОБНОЕ ОКИСЛЕНИЕ ГЛЮКОЗЫ. ПФП окисления глюкозы. ОБМЕН ФРУКТОЗЫ И ГАЛАКТОЗЫ»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Изучение процессов апотомического окисления глюкозы и механизмов включения в процессы катаболизма других моносахаров – галактозы и фруктозы, поможет будущему врачу правильно оценить состояние углеводного обмена, а также глубже понять патогенез таких наследственных нарушений обмена как фруктоземия и галактоземия. В этой связи важное значение приобретает и усвоение вопросов, касающихся аэробного окисления глюкозы и его роли в энергетике организма.</w:t>
      </w:r>
    </w:p>
    <w:p>
      <w:pPr>
        <w:spacing w:lineRule="auto" w:line="360" w:beforeAutospacing="0" w:afterAutospacing="0"/>
        <w:ind w:hanging="2127" w:left="2127"/>
        <w:jc w:val="both"/>
        <w:rPr>
          <w:sz w:val="28"/>
        </w:rPr>
      </w:pPr>
      <w:r>
        <w:rPr>
          <w:sz w:val="28"/>
          <w:u w:val="single"/>
        </w:rPr>
        <w:t>Цель занятий</w:t>
      </w:r>
      <w:r>
        <w:rPr>
          <w:sz w:val="28"/>
        </w:rPr>
        <w:t xml:space="preserve">:    </w:t>
      </w:r>
    </w:p>
    <w:p>
      <w:pPr>
        <w:spacing w:lineRule="auto" w:line="360" w:beforeAutospacing="0" w:afterAutospacing="0"/>
        <w:ind w:hanging="2127" w:left="2127"/>
        <w:jc w:val="both"/>
        <w:rPr>
          <w:sz w:val="28"/>
        </w:rPr>
      </w:pPr>
      <w:r>
        <w:rPr>
          <w:sz w:val="28"/>
        </w:rPr>
        <w:t xml:space="preserve">1. Знать химизм и энергетический эффект аэробного окисления глюкозы.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2. Знать химизм окислительной фазы и биологическую роль пентозофосфатного пути.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3. Иметь представление об особенностях включения галактозы и фруктозы в процессы катаболизма, а также основные наследственные нарушения обмена углеводов.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>Необходим исходный уровень:</w:t>
      </w:r>
      <w:r>
        <w:rPr>
          <w:sz w:val="28"/>
        </w:rPr>
        <w:t xml:space="preserve">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Из курса биоорганической химии студент должен знать: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-  строение и свойства пентоз.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Основные понятия темы: </w:t>
      </w:r>
      <w:r>
        <w:rPr>
          <w:sz w:val="28"/>
        </w:rPr>
        <w:t>аэробный гликолиз, пентозофосфатный путь окисления глюкозы. Галактоземия, фруктоземия. Гликогенозы.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Аэробное дихотомическое окисление глюкозы. Общность путей аэробного и анаэробного окисления. Пируват – общий ключевой метаболит.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Челночные механизмы переноса водорода из цитозоля в митохондрии (малатаспартатный и глицерофосфатный челночные механизмы).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Физиологическая роль и энергетический эффект аэробного окисления глюкозы.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Представление о пентозофосфатном пути окисления глюкозы (общая характеристика).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caps w:val="1"/>
          <w:sz w:val="28"/>
        </w:rPr>
      </w:pPr>
      <w:r>
        <w:rPr>
          <w:sz w:val="28"/>
        </w:rPr>
        <w:t>Окислительная стадия пентозофосфатного окисления глюкозы (до образования рибулозо-5-фосфата). Химизм и суммарное уравнение.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caps w:val="1"/>
          <w:sz w:val="28"/>
        </w:rPr>
      </w:pPr>
      <w:r>
        <w:rPr>
          <w:sz w:val="28"/>
        </w:rPr>
        <w:t>Характеристика неокислительного этапа пентозофосфатного окисления глюкозы.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caps w:val="1"/>
          <w:sz w:val="28"/>
        </w:rPr>
      </w:pPr>
      <w:r>
        <w:rPr>
          <w:sz w:val="28"/>
        </w:rPr>
        <w:t xml:space="preserve">Биологическое значение пентозофосфатного окисления глюкозы. 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caps w:val="1"/>
          <w:sz w:val="28"/>
        </w:rPr>
      </w:pPr>
      <w:r>
        <w:rPr>
          <w:sz w:val="28"/>
        </w:rPr>
        <w:t>Особенности обмена других моносахаридов: фруктозы и галактозы.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caps w:val="1"/>
          <w:sz w:val="28"/>
        </w:rPr>
      </w:pPr>
      <w:r>
        <w:rPr>
          <w:sz w:val="28"/>
        </w:rPr>
        <w:t>Нарушения углеводного обмена: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а)   непереносимость лактозы, сахарозы;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б)  галактоземия;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в) эссенциальная фруктоземия, и наследственная непереносимость фруктозы; 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г)  гликогенозы (болезнь Гирке, болезнь Кори, болезнь Андерсена, болезнь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         Мак-Ардля).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9. Сахарный диабет. Биохимические подходы к профилактике и лечению сахарного диабета. 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ЗАНЯТИЯ. УИРС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№1</w:t>
      </w:r>
    </w:p>
    <w:p>
      <w:pPr>
        <w:spacing w:lineRule="auto" w:line="360" w:beforeAutospacing="0" w:afterAutospacing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Проба на галактозу в моче</w:t>
      </w:r>
    </w:p>
    <w:p>
      <w:pPr>
        <w:spacing w:lineRule="auto" w:line="360" w:beforeAutospacing="0" w:afterAutospacing="0"/>
        <w:ind w:firstLine="567"/>
        <w:jc w:val="both"/>
        <w:rPr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>К 1 мл мочи добавляют 0,5 мл концентрированного раствора аммиака и 3 капли 10% раствора едкого натра. Пробу нагревают до кипения. При наличии в моче галактозы появляется ярко-желтое окрашивание.</w:t>
      </w:r>
    </w:p>
    <w:p>
      <w:pPr>
        <w:spacing w:lineRule="auto" w:line="360" w:beforeAutospacing="0" w:afterAutospacing="0"/>
        <w:ind w:firstLine="567"/>
        <w:jc w:val="both"/>
        <w:rPr>
          <w:i w:val="1"/>
          <w:sz w:val="28"/>
        </w:rPr>
      </w:pPr>
      <w:r>
        <w:rPr>
          <w:i w:val="1"/>
          <w:sz w:val="28"/>
          <w:u w:val="single"/>
        </w:rPr>
        <w:t>Результат:</w:t>
      </w:r>
    </w:p>
    <w:p>
      <w:pPr>
        <w:spacing w:lineRule="auto" w:line="360" w:beforeAutospacing="0" w:afterAutospacing="0"/>
        <w:ind w:firstLine="567"/>
        <w:jc w:val="both"/>
        <w:rPr>
          <w:i w:val="1"/>
          <w:sz w:val="28"/>
        </w:rPr>
      </w:pPr>
    </w:p>
    <w:p>
      <w:pPr>
        <w:spacing w:lineRule="auto" w:line="360" w:beforeAutospacing="0" w:afterAutospacing="0"/>
        <w:ind w:firstLine="567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 xml:space="preserve">Вывод: 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 №2</w:t>
      </w:r>
    </w:p>
    <w:p>
      <w:pPr>
        <w:spacing w:lineRule="auto" w:line="360" w:beforeAutospacing="0" w:afterAutospacing="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Открытие фруктозы в моче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  <w:u w:val="single"/>
        </w:rPr>
        <w:t xml:space="preserve">Ход работы: </w:t>
      </w:r>
      <w:r>
        <w:rPr>
          <w:sz w:val="28"/>
        </w:rPr>
        <w:t>В чистую сухую пробирку вносят несколько кристаллов едкого калия и добавляют 4-6 капель мочи. При наличии фруктозы появляется красное окрашивание.</w:t>
      </w:r>
    </w:p>
    <w:p>
      <w:pPr>
        <w:spacing w:lineRule="auto" w:line="360" w:beforeAutospacing="0" w:afterAutospacing="0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Результат:</w:t>
      </w:r>
    </w:p>
    <w:p>
      <w:pPr>
        <w:spacing w:lineRule="auto" w:line="360" w:beforeAutospacing="0" w:afterAutospacing="0"/>
        <w:jc w:val="both"/>
        <w:rPr>
          <w:i w:val="1"/>
          <w:sz w:val="28"/>
        </w:rPr>
      </w:pPr>
    </w:p>
    <w:p>
      <w:pPr>
        <w:spacing w:lineRule="auto" w:line="360" w:beforeAutospacing="0" w:afterAutospacing="0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Вывод:</w:t>
      </w:r>
    </w:p>
    <w:p>
      <w:pPr>
        <w:spacing w:lineRule="auto" w:line="360" w:beforeAutospacing="0" w:afterAutospacing="0"/>
        <w:rPr>
          <w:sz w:val="28"/>
        </w:rPr>
      </w:pP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  <w:u w:val="single"/>
        </w:rPr>
        <w:t xml:space="preserve">Клинико-диагностическое значение: </w:t>
      </w:r>
      <w:r>
        <w:rPr>
          <w:sz w:val="28"/>
        </w:rPr>
        <w:t xml:space="preserve">наличие фруктозы и галактозы в моче наблюдается у детей при ферментопатиях: фруктоземии, галактоземии. </w:t>
      </w:r>
    </w:p>
    <w:p>
      <w:pPr>
        <w:spacing w:lineRule="auto" w:line="360" w:beforeAutospacing="0" w:afterAutospacing="0"/>
        <w:rPr>
          <w:sz w:val="28"/>
          <w:u w:val="single"/>
        </w:rPr>
      </w:pPr>
    </w:p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ВОПРОСЫ ДЛЯ САМОКОНТРОЛЯ</w:t>
      </w:r>
    </w:p>
    <w:p>
      <w:pPr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1.Повторить из раздела «Биологическое окисление».</w:t>
      </w:r>
    </w:p>
    <w:p>
      <w:pPr>
        <w:spacing w:lineRule="auto" w:line="360" w:beforeAutospacing="0" w:afterAutospacing="0"/>
        <w:ind w:left="720"/>
        <w:rPr>
          <w:sz w:val="28"/>
        </w:rPr>
      </w:pPr>
      <w:r>
        <w:rPr>
          <w:sz w:val="28"/>
        </w:rPr>
        <w:t>а) окислительное декарбоксилирование ПВК;</w:t>
      </w:r>
    </w:p>
    <w:p>
      <w:pPr>
        <w:spacing w:lineRule="auto" w:line="360" w:beforeAutospacing="0" w:afterAutospacing="0"/>
        <w:ind w:left="720"/>
        <w:rPr>
          <w:sz w:val="28"/>
        </w:rPr>
      </w:pPr>
      <w:r>
        <w:rPr>
          <w:sz w:val="28"/>
        </w:rPr>
        <w:t>б) ЦТК (химизм реакций), связь с ЦТЭ I и II типа.</w:t>
      </w:r>
    </w:p>
    <w:p>
      <w:pPr>
        <w:spacing w:lineRule="auto" w:line="360" w:beforeAutospacing="0" w:afterAutospacing="0"/>
        <w:rPr>
          <w:sz w:val="28"/>
          <w:u w:val="single"/>
        </w:rPr>
      </w:pPr>
      <w:r>
        <w:rPr>
          <w:sz w:val="28"/>
          <w:u w:val="single"/>
        </w:rPr>
        <w:t>2. Решить следующие ситуационные задачи: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1.При исследовании активности ферментов углеводного обмена отмечалась высокая активность фосфоенолпируваткарбоксикиназы, фруктозо-1,6-дифосфатазы и глюкозо-6-фосфатазы в печени и почках. Что это за ферменты и почему именно в этих тканях?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2.Этанол угнетает глюконеогенез и активность ферментов цикла трикарбоновых кислот. Какие изменения в обмене углеводов и функциональном состоянии органов (головного мозга, скелетной мускулатуры) вызывает этанол?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3.При каком наследственном заболевании образуется гликоген с аномально длинными неветвящимися цепями, что обычно сопровождается прогрессирующим циррозом печени. Назовите причину данного заболевания.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3.Составить схемы включения галактозы и фруктозы в процессы катаболизма в печени.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1"/>
        <w:numPr>
          <w:ilvl w:val="0"/>
          <w:numId w:val="2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[Текст]: учебник / под ред. С.Е. Северина. – М.: ГЭОТАР – Медиа, 2012.-622 с.</w:t>
      </w:r>
    </w:p>
    <w:p>
      <w:pPr>
        <w:pStyle w:val="P1"/>
        <w:tabs>
          <w:tab w:val="left" w:pos="360" w:leader="none"/>
        </w:tabs>
        <w:ind w:left="360"/>
        <w:rPr>
          <w:sz w:val="28"/>
        </w:rPr>
      </w:pPr>
    </w:p>
    <w:p>
      <w:pPr>
        <w:pStyle w:val="P1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1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 : руководство к практическим занятиям / под ред. Н.Н.   Чернова. - М.:ГЭОТАР-Медиа,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[Текст]: учеб. для вузов / Т.Л. Алейникова, Л.В. Авдеева, Л.Е. Андрианова и др.; под ред.Е.С. Северина. – 4-е изд., испр. – М.: ГЭОТАР – Медиа, 2007. -784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3. Нельсон, Д. Основы биохимии Ленинджера. В трех томах.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4. Николаев, А.Я. Биологическая химия [ Текст] : учеб. для студентов мед. вузов / А.Я. Николаев.- 3-е изд., перераб. и доп. – М.: Медицинское информ. Агентство, 2007.- 568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6. Афонина, С.Н. Сахарозаменители и их применение в медицине. /С.Н. Афонина, М.М. Павлова, А.А. Никоноров. – Оренбург: ООО Принт-Сервис, 2012. – 78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41B622E"/>
    <w:multiLevelType w:val="hybridMultilevel"/>
    <w:lvl w:ilvl="0">
      <w:start w:val="1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6"/>
        <w:u w:val="none"/>
      </w:rPr>
    </w:lvl>
    <w:lvl w:ilvl="1" w:tplc="13C0F179">
      <w:start w:val="1"/>
      <w:numFmt w:val="decimal"/>
      <w:suff w:val="tab"/>
      <w:lvlText w:val="%1."/>
      <w:lvlJc w:val="left"/>
      <w:pPr/>
      <w:rPr/>
    </w:lvl>
    <w:lvl w:ilvl="2" w:tplc="6FE3F947">
      <w:start w:val="1"/>
      <w:numFmt w:val="decimal"/>
      <w:suff w:val="tab"/>
      <w:lvlText w:val="%1."/>
      <w:lvlJc w:val="left"/>
      <w:pPr/>
      <w:rPr/>
    </w:lvl>
    <w:lvl w:ilvl="3" w:tplc="452C7E3D">
      <w:start w:val="1"/>
      <w:numFmt w:val="decimal"/>
      <w:suff w:val="tab"/>
      <w:lvlText w:val="%1."/>
      <w:lvlJc w:val="left"/>
      <w:pPr/>
      <w:rPr/>
    </w:lvl>
    <w:lvl w:ilvl="4" w:tplc="7CFDD6F0">
      <w:start w:val="1"/>
      <w:numFmt w:val="decimal"/>
      <w:suff w:val="tab"/>
      <w:lvlText w:val="%1."/>
      <w:lvlJc w:val="left"/>
      <w:pPr/>
      <w:rPr/>
    </w:lvl>
    <w:lvl w:ilvl="5" w:tplc="631E5ED0">
      <w:start w:val="1"/>
      <w:numFmt w:val="decimal"/>
      <w:suff w:val="tab"/>
      <w:lvlText w:val="%1."/>
      <w:lvlJc w:val="left"/>
      <w:pPr/>
      <w:rPr/>
    </w:lvl>
    <w:lvl w:ilvl="6" w:tplc="4919F763">
      <w:start w:val="1"/>
      <w:numFmt w:val="decimal"/>
      <w:suff w:val="tab"/>
      <w:lvlText w:val="%1."/>
      <w:lvlJc w:val="left"/>
      <w:pPr/>
      <w:rPr/>
    </w:lvl>
    <w:lvl w:ilvl="7" w:tplc="3888AB5C">
      <w:start w:val="1"/>
      <w:numFmt w:val="decimal"/>
      <w:suff w:val="tab"/>
      <w:lvlText w:val="%1."/>
      <w:lvlJc w:val="left"/>
      <w:pPr/>
      <w:rPr/>
    </w:lvl>
    <w:lvl w:ilvl="8" w:tplc="5D31D04D">
      <w:start w:val="1"/>
      <w:numFmt w:val="decimal"/>
      <w:suff w:val="tab"/>
      <w:lvlText w:val="%1."/>
      <w:lvlJc w:val="left"/>
      <w:pPr/>
      <w:rPr/>
    </w:lvl>
  </w:abstractNum>
  <w:abstractNum w:abstractNumId="1">
    <w:nsid w:val="7ABF4C2B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"/>
    <w:basedOn w:val="P0"/>
    <w:link w:val="C3"/>
    <w:pPr>
      <w:jc w:val="both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