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09150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b w:val="1"/>
          <w:sz w:val="28"/>
        </w:rPr>
      </w:pPr>
      <w:r>
        <w:rPr>
          <w:b w:val="1"/>
          <w:sz w:val="28"/>
        </w:rPr>
        <w:t>ЗАНЯТИЕ 2</w:t>
      </w:r>
    </w:p>
    <w:p>
      <w:pPr>
        <w:jc w:val="center"/>
        <w:rPr>
          <w:b w:val="1"/>
          <w:i w:val="1"/>
          <w:sz w:val="28"/>
          <w:u w:val="single"/>
        </w:rPr>
      </w:pPr>
      <w:r>
        <w:rPr>
          <w:b w:val="1"/>
          <w:sz w:val="28"/>
        </w:rPr>
        <w:t>Тема 4.2 «ЛИПОПРОТЕИНЫ КРОВИ И ИХ ХАРАКТЕРИСТИКА. КАТАБОЛИЗМ ЛИПИДОВ»</w:t>
      </w:r>
    </w:p>
    <w:p>
      <w:pPr>
        <w:ind w:firstLine="709"/>
        <w:jc w:val="both"/>
        <w:rPr>
          <w:sz w:val="28"/>
          <w:u w:val="single"/>
        </w:rPr>
      </w:pPr>
      <w:r>
        <w:rPr>
          <w:sz w:val="28"/>
          <w:u w:val="single"/>
        </w:rPr>
        <w:t>Обоснование темы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Жиры гидрофобны, поэтому транспортируются по кровотоку с помощью белков, образуя с ними надмолекулярные транспортные комплексы – липопротеины. Функции липопротеинов различны и зависят от состава и места синтеза. Значение жиров в жизнедеятельности человека весьма разнообразно. Прежде всего, высокая калорийность жиров по сравнению с белками и углеводами придает им особую энергетическую ценность при расходовании организмом больших количеств энергии. </w:t>
      </w:r>
    </w:p>
    <w:p>
      <w:pPr>
        <w:ind w:firstLine="709"/>
        <w:rPr>
          <w:sz w:val="28"/>
        </w:rPr>
      </w:pPr>
      <w:r>
        <w:rPr>
          <w:sz w:val="28"/>
          <w:u w:val="single"/>
        </w:rPr>
        <w:t>Цель занятия:</w:t>
      </w:r>
      <w:r>
        <w:rPr>
          <w:sz w:val="28"/>
        </w:rPr>
        <w:t xml:space="preserve">    </w:t>
      </w:r>
    </w:p>
    <w:p>
      <w:pPr>
        <w:numPr>
          <w:ilvl w:val="0"/>
          <w:numId w:val="3"/>
        </w:numPr>
        <w:ind w:firstLine="709"/>
        <w:rPr>
          <w:sz w:val="28"/>
        </w:rPr>
      </w:pPr>
      <w:r>
        <w:rPr>
          <w:sz w:val="28"/>
        </w:rPr>
        <w:t>изучить основные пути катаболизма ТАГ и фосфолипидов;</w:t>
      </w:r>
    </w:p>
    <w:p>
      <w:pPr>
        <w:numPr>
          <w:ilvl w:val="0"/>
          <w:numId w:val="3"/>
        </w:numPr>
        <w:ind w:firstLine="709"/>
        <w:jc w:val="both"/>
        <w:rPr>
          <w:sz w:val="28"/>
        </w:rPr>
      </w:pPr>
      <w:r>
        <w:rPr>
          <w:sz w:val="28"/>
        </w:rPr>
        <w:t>обратить внимание на общность путей катаболизма глицерола и моносахаридов;</w:t>
      </w:r>
    </w:p>
    <w:p>
      <w:pPr>
        <w:numPr>
          <w:ilvl w:val="0"/>
          <w:numId w:val="3"/>
        </w:numPr>
        <w:ind w:firstLine="709"/>
        <w:jc w:val="both"/>
        <w:rPr>
          <w:sz w:val="28"/>
        </w:rPr>
      </w:pPr>
      <w:r>
        <w:rPr>
          <w:sz w:val="28"/>
        </w:rPr>
        <w:t>знать энергетические эффекты окисления глицерола и высших жирных кислот;</w:t>
      </w:r>
    </w:p>
    <w:p>
      <w:pPr>
        <w:numPr>
          <w:ilvl w:val="0"/>
          <w:numId w:val="3"/>
        </w:numPr>
        <w:ind w:firstLine="709"/>
        <w:jc w:val="both"/>
        <w:rPr>
          <w:sz w:val="28"/>
        </w:rPr>
      </w:pPr>
      <w:r>
        <w:rPr>
          <w:sz w:val="28"/>
        </w:rPr>
        <w:t>знать состав и биологическую роль липопротеинов плазмы крови;</w:t>
      </w:r>
    </w:p>
    <w:p>
      <w:pPr>
        <w:numPr>
          <w:ilvl w:val="0"/>
          <w:numId w:val="3"/>
        </w:numPr>
        <w:ind w:firstLine="709"/>
        <w:jc w:val="both"/>
        <w:rPr>
          <w:sz w:val="28"/>
        </w:rPr>
      </w:pPr>
      <w:r>
        <w:rPr>
          <w:sz w:val="28"/>
        </w:rPr>
        <w:t xml:space="preserve">уметь определять содержание </w:t>
      </w:r>
      <w:r>
        <w:rPr>
          <w:rFonts w:ascii="Symbol" w:hAnsi="Symbol"/>
          <w:sz w:val="28"/>
        </w:rPr>
        <w:t></w:t>
      </w:r>
      <w:r>
        <w:rPr>
          <w:sz w:val="28"/>
        </w:rPr>
        <w:t>липопротеинов в сыворотке крови и анализировать полученные данные.</w:t>
      </w:r>
    </w:p>
    <w:p>
      <w:pPr>
        <w:ind w:firstLine="709"/>
        <w:rPr>
          <w:sz w:val="28"/>
          <w:u w:val="single"/>
        </w:rPr>
      </w:pPr>
      <w:r>
        <w:rPr>
          <w:sz w:val="28"/>
          <w:u w:val="single"/>
        </w:rPr>
        <w:t>Основные понятия темы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Белково-липидные комплексы крови. Транспорт жирных кислот альбуминами крови. Мобилизация жиров в жировой ткани: липолиз ТАГ. Основные пути катаболизма липидов, β- окисление жирных кислот.</w:t>
      </w:r>
    </w:p>
    <w:p>
      <w:pPr>
        <w:pStyle w:val="P1"/>
        <w:rPr>
          <w:b w:val="1"/>
          <w:sz w:val="28"/>
        </w:rPr>
      </w:pPr>
    </w:p>
    <w:p>
      <w:pPr>
        <w:pStyle w:val="P1"/>
        <w:rPr>
          <w:b w:val="1"/>
          <w:sz w:val="28"/>
        </w:rPr>
      </w:pPr>
      <w:r>
        <w:rPr>
          <w:b w:val="1"/>
          <w:sz w:val="28"/>
        </w:rPr>
        <w:t>ВОПРОСЫ К ЗАНЯТИЮ</w:t>
      </w:r>
    </w:p>
    <w:p>
      <w:pPr>
        <w:pStyle w:val="P2"/>
        <w:numPr>
          <w:ilvl w:val="0"/>
          <w:numId w:val="1"/>
        </w:numPr>
        <w:tabs>
          <w:tab w:val="left" w:pos="360" w:leader="none"/>
        </w:tabs>
        <w:rPr>
          <w:sz w:val="28"/>
        </w:rPr>
      </w:pPr>
      <w:r>
        <w:rPr>
          <w:sz w:val="28"/>
        </w:rPr>
        <w:t xml:space="preserve">Липопротеины крови: классификация (хиломикроны, ЛПОНП, ЛПНП, ЛПВП; пре-β-, β- и α-ЛП), состав, биологическая роль. </w:t>
      </w:r>
    </w:p>
    <w:p>
      <w:pPr>
        <w:numPr>
          <w:ilvl w:val="0"/>
          <w:numId w:val="1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Внутриклеточный катаболизм триацилглицеридов. Липолиз. Гормончувствительная (тканевая) липаза. Каскадный механизм активирования тканевой липазы. Роль гормонов – адреналина и глюкагона, цАМФ в активировании тканевой липазы.</w:t>
      </w:r>
    </w:p>
    <w:p>
      <w:pPr>
        <w:numPr>
          <w:ilvl w:val="0"/>
          <w:numId w:val="1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Внутриклеточное окисление глицерола: химизм процесса, энергетический эффект. Конечные продукты внутриклеточного окисления глицерола. Общность путей окисления углеводов и липидов.</w:t>
      </w:r>
    </w:p>
    <w:p>
      <w:pPr>
        <w:numPr>
          <w:ilvl w:val="0"/>
          <w:numId w:val="1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Внутриклеточное окисление жирных кислот. Локализация процесса в клетке: образование ацил-КоА, поступление жирных кислот в митохондриальный матрикс (карнитиновый челночный механизм).</w:t>
      </w:r>
    </w:p>
    <w:p>
      <w:pPr>
        <w:numPr>
          <w:ilvl w:val="0"/>
          <w:numId w:val="1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 xml:space="preserve">Внутриклеточное окисление жирных кислот. Две фазы окисления. Первая фаза - </w:t>
      </w:r>
      <w:r>
        <w:rPr>
          <w:rFonts w:ascii="Symbol" w:hAnsi="Symbol"/>
          <w:sz w:val="28"/>
        </w:rPr>
        <w:t></w:t>
      </w:r>
      <w:r>
        <w:rPr>
          <w:sz w:val="28"/>
        </w:rPr>
        <w:t>окисление (сущность процесса, химизм реакций, характеристика ферментных систем, энергетический эффект).</w:t>
      </w:r>
    </w:p>
    <w:p>
      <w:pPr>
        <w:numPr>
          <w:ilvl w:val="0"/>
          <w:numId w:val="1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Характеристика второй фазы: окисляемый субстрат, конечные продукты окисления. Общий энергетический эффект полного окисления (общая формула подсчета энергии). Взаимосвязь окисления жирных кислот с процессами тканевого дыхания.</w:t>
      </w:r>
    </w:p>
    <w:p>
      <w:pPr>
        <w:tabs>
          <w:tab w:val="left" w:pos="360" w:leader="none"/>
        </w:tabs>
        <w:jc w:val="both"/>
        <w:rPr>
          <w:sz w:val="28"/>
        </w:rPr>
      </w:pPr>
    </w:p>
    <w:p>
      <w:pPr>
        <w:pStyle w:val="P1"/>
        <w:rPr>
          <w:b w:val="1"/>
          <w:sz w:val="28"/>
        </w:rPr>
      </w:pPr>
      <w:r>
        <w:rPr>
          <w:b w:val="1"/>
          <w:sz w:val="28"/>
        </w:rPr>
        <w:t xml:space="preserve">МЕТОДИЧЕСКИЕ УКАЗАНИЯ К ПРАКТИЧЕСКОЙ ЧАСТИ ЗАНЯТИЯ </w:t>
      </w: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Лабораторная работа №1</w:t>
      </w: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 xml:space="preserve">Количественное определение </w:t>
      </w:r>
      <w:r>
        <w:rPr>
          <w:rFonts w:ascii="Symbol" w:hAnsi="Symbol"/>
          <w:b w:val="1"/>
          <w:sz w:val="28"/>
        </w:rPr>
        <w:t></w:t>
      </w:r>
      <w:r>
        <w:rPr>
          <w:b w:val="1"/>
          <w:sz w:val="28"/>
        </w:rPr>
        <w:t>липопротеинов в сыворотке крови</w:t>
      </w:r>
    </w:p>
    <w:p>
      <w:pPr>
        <w:ind w:firstLine="709"/>
        <w:jc w:val="both"/>
        <w:rPr>
          <w:sz w:val="28"/>
        </w:rPr>
      </w:pPr>
      <w:r>
        <w:rPr>
          <w:sz w:val="28"/>
          <w:u w:val="single"/>
        </w:rPr>
        <w:t>Принцип метода:</w:t>
      </w:r>
      <w:r>
        <w:rPr>
          <w:sz w:val="28"/>
        </w:rPr>
        <w:t xml:space="preserve"> в основу метода положена способность </w:t>
      </w:r>
      <w:r>
        <w:rPr>
          <w:rFonts w:ascii="Symbol" w:hAnsi="Symbol"/>
          <w:sz w:val="28"/>
        </w:rPr>
        <w:t></w:t>
      </w:r>
      <w:r>
        <w:rPr>
          <w:sz w:val="28"/>
        </w:rPr>
        <w:t xml:space="preserve">липопротеинов (ЛПНП) осаждаться в присутствии хлорида кальция и гепарина, при этом изменяется мутность раствора. Гепарин образует с </w:t>
      </w:r>
      <w:r>
        <w:rPr>
          <w:rFonts w:ascii="Symbol" w:hAnsi="Symbol"/>
          <w:sz w:val="28"/>
        </w:rPr>
        <w:t></w:t>
      </w:r>
      <w:r>
        <w:rPr>
          <w:sz w:val="28"/>
        </w:rPr>
        <w:t xml:space="preserve">липопротеинами комплекс, который под действием хлорида кальция выпадает в осадок. По степени помутнения раствора судят о концентрации </w:t>
      </w:r>
      <w:r>
        <w:rPr>
          <w:rFonts w:ascii="Symbol" w:hAnsi="Symbol"/>
          <w:sz w:val="28"/>
        </w:rPr>
        <w:t></w:t>
      </w:r>
      <w:r>
        <w:rPr>
          <w:sz w:val="28"/>
        </w:rPr>
        <w:t>липопротеинов в сыворотке крови.</w:t>
      </w:r>
    </w:p>
    <w:p>
      <w:pPr>
        <w:ind w:firstLine="709"/>
        <w:jc w:val="both"/>
        <w:rPr>
          <w:sz w:val="28"/>
        </w:rPr>
      </w:pPr>
      <w:r>
        <w:rPr>
          <w:sz w:val="28"/>
          <w:u w:val="single"/>
        </w:rPr>
        <w:t xml:space="preserve">Ход работы: </w:t>
      </w:r>
      <w:r>
        <w:rPr>
          <w:sz w:val="28"/>
        </w:rPr>
        <w:t>в пробирку вносят 2 мл 0,27% раствора хлорида кальция и 0,2 мл сыворотки крови, перемешивают. Определяют оптическую плотность раствора Е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против 0,27% раствора хлорида кальция в кюветах на 5 мм при красном светофильтре (630 нм). Раствор из кюветы переливают в пробирку, добавляют микропипеткой 0,04 мл 1% раствора гепарина, перемешивают и точно через 4 минуты снова определяют оптическую плотность раствора Е</w:t>
      </w:r>
      <w:r>
        <w:rPr>
          <w:sz w:val="28"/>
          <w:vertAlign w:val="subscript"/>
        </w:rPr>
        <w:t>2</w:t>
      </w:r>
      <w:r>
        <w:rPr>
          <w:sz w:val="28"/>
        </w:rPr>
        <w:t>.</w:t>
      </w:r>
    </w:p>
    <w:p>
      <w:pPr>
        <w:ind w:firstLine="709"/>
        <w:jc w:val="both"/>
        <w:rPr>
          <w:sz w:val="28"/>
        </w:rPr>
      </w:pPr>
      <w:r>
        <w:rPr>
          <w:sz w:val="28"/>
          <w:u w:val="single"/>
        </w:rPr>
        <w:t xml:space="preserve">Расчет: </w:t>
      </w:r>
      <w:r>
        <w:rPr>
          <w:sz w:val="28"/>
        </w:rPr>
        <w:t xml:space="preserve">Концентрация </w:t>
      </w:r>
      <w:r>
        <w:rPr>
          <w:rFonts w:ascii="Symbol" w:hAnsi="Symbol"/>
          <w:sz w:val="28"/>
        </w:rPr>
        <w:t></w:t>
      </w:r>
      <w:r>
        <w:rPr>
          <w:sz w:val="28"/>
        </w:rPr>
        <w:t xml:space="preserve">липопротеинов (г/л) =  (Е</w:t>
      </w:r>
      <w:r>
        <w:rPr>
          <w:sz w:val="28"/>
          <w:vertAlign w:val="subscript"/>
        </w:rPr>
        <w:t xml:space="preserve">2 </w:t>
      </w:r>
      <w:r>
        <w:rPr>
          <w:sz w:val="28"/>
        </w:rPr>
        <w:t>– Е</w:t>
      </w:r>
      <w:r>
        <w:rPr>
          <w:sz w:val="28"/>
          <w:vertAlign w:val="subscript"/>
        </w:rPr>
        <w:t>1</w:t>
      </w:r>
      <w:r>
        <w:rPr>
          <w:sz w:val="28"/>
        </w:rPr>
        <w:t>) ∙10; где 10 – эмпирический коэффициент пересчета β–липопротеинов в г/л.</w:t>
      </w:r>
    </w:p>
    <w:p>
      <w:pPr>
        <w:jc w:val="both"/>
        <w:rPr>
          <w:sz w:val="28"/>
        </w:rPr>
      </w:pPr>
      <w:r>
        <w:rPr>
          <w:sz w:val="28"/>
        </w:rPr>
        <w:t xml:space="preserve">В норме содержание </w:t>
      </w:r>
      <w:r>
        <w:rPr>
          <w:rFonts w:ascii="Symbol" w:hAnsi="Symbol"/>
          <w:sz w:val="28"/>
        </w:rPr>
        <w:t></w:t>
      </w:r>
      <w:r>
        <w:rPr>
          <w:sz w:val="28"/>
        </w:rPr>
        <w:t>липопротеинов в сывортке крови составляет 3,0-4,5 г/л.</w:t>
      </w:r>
    </w:p>
    <w:p>
      <w:pPr>
        <w:jc w:val="both"/>
        <w:rPr>
          <w:sz w:val="28"/>
          <w:u w:val="single"/>
        </w:rPr>
      </w:pPr>
      <w:r>
        <w:rPr>
          <w:sz w:val="28"/>
          <w:u w:val="single"/>
        </w:rPr>
        <w:t>Результат:</w:t>
      </w:r>
    </w:p>
    <w:p>
      <w:pPr>
        <w:jc w:val="both"/>
        <w:rPr>
          <w:sz w:val="28"/>
          <w:u w:val="single"/>
        </w:rPr>
      </w:pPr>
    </w:p>
    <w:p>
      <w:pPr>
        <w:jc w:val="both"/>
        <w:rPr>
          <w:sz w:val="28"/>
          <w:u w:val="single"/>
        </w:rPr>
      </w:pPr>
    </w:p>
    <w:p>
      <w:pPr>
        <w:jc w:val="both"/>
        <w:rPr>
          <w:sz w:val="28"/>
          <w:u w:val="single"/>
        </w:rPr>
      </w:pPr>
      <w:r>
        <w:rPr>
          <w:sz w:val="28"/>
          <w:u w:val="single"/>
        </w:rPr>
        <w:t>Вывод:</w:t>
      </w:r>
    </w:p>
    <w:p>
      <w:pPr>
        <w:jc w:val="both"/>
        <w:rPr>
          <w:sz w:val="28"/>
          <w:u w:val="single"/>
        </w:rPr>
      </w:pPr>
    </w:p>
    <w:p>
      <w:pPr>
        <w:jc w:val="both"/>
        <w:rPr>
          <w:sz w:val="28"/>
          <w:u w:val="single"/>
        </w:rPr>
      </w:pPr>
    </w:p>
    <w:p>
      <w:pPr>
        <w:jc w:val="both"/>
        <w:rPr>
          <w:sz w:val="28"/>
          <w:u w:val="single"/>
        </w:rPr>
      </w:pPr>
    </w:p>
    <w:p>
      <w:pPr>
        <w:ind w:firstLine="709"/>
        <w:jc w:val="both"/>
        <w:rPr>
          <w:sz w:val="28"/>
        </w:rPr>
      </w:pPr>
      <w:r>
        <w:rPr>
          <w:sz w:val="28"/>
          <w:u w:val="single"/>
        </w:rPr>
        <w:t>Клинико-диагностическое значение</w:t>
      </w:r>
      <w:r>
        <w:rPr>
          <w:sz w:val="28"/>
        </w:rPr>
        <w:t xml:space="preserve">: увеличение </w:t>
      </w:r>
      <w:r>
        <w:rPr>
          <w:rFonts w:ascii="Symbol" w:hAnsi="Symbol"/>
          <w:sz w:val="28"/>
        </w:rPr>
        <w:t></w:t>
      </w:r>
      <w:r>
        <w:rPr>
          <w:sz w:val="28"/>
        </w:rPr>
        <w:t xml:space="preserve">липопротеинов в крови наблюдается при атеросклерозе, механической желтухе, острых гепатитах, хронических заболеваниях печени, диабете, ожирении. Уменьшение – при </w:t>
      </w:r>
      <w:r>
        <w:rPr>
          <w:rFonts w:ascii="Symbol" w:hAnsi="Symbol"/>
          <w:sz w:val="28"/>
        </w:rPr>
        <w:t></w:t>
      </w:r>
      <w:r>
        <w:rPr>
          <w:sz w:val="28"/>
          <w:vertAlign w:val="subscript"/>
        </w:rPr>
        <w:t xml:space="preserve">2  </w:t>
      </w:r>
      <w:r>
        <w:rPr>
          <w:sz w:val="28"/>
        </w:rPr>
        <w:t>– плазмоцитоме.</w:t>
      </w:r>
    </w:p>
    <w:p>
      <w:pPr>
        <w:jc w:val="center"/>
        <w:rPr>
          <w:b w:val="1"/>
          <w:sz w:val="28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ВОПРОСЫ ДЛЯ САМОКОНТРОЛЯ</w:t>
      </w:r>
    </w:p>
    <w:p>
      <w:pPr>
        <w:pStyle w:val="P2"/>
        <w:numPr>
          <w:ilvl w:val="0"/>
          <w:numId w:val="2"/>
        </w:numPr>
        <w:tabs>
          <w:tab w:val="left" w:pos="360" w:leader="none"/>
        </w:tabs>
        <w:rPr>
          <w:sz w:val="28"/>
        </w:rPr>
      </w:pPr>
      <w:r>
        <w:rPr>
          <w:sz w:val="28"/>
        </w:rPr>
        <w:t>Повторить дихотомическое расщепление углеводов в аэробных условиях.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Повторить химизм реакций и биологическую роль цикла трикарбоновых кислот.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Повторить строение и механизм действия витаминов В</w:t>
      </w:r>
      <w:r>
        <w:rPr>
          <w:sz w:val="28"/>
          <w:vertAlign w:val="subscript"/>
        </w:rPr>
        <w:t>1</w:t>
      </w:r>
      <w:r>
        <w:rPr>
          <w:sz w:val="28"/>
        </w:rPr>
        <w:t>, В</w:t>
      </w:r>
      <w:r>
        <w:rPr>
          <w:sz w:val="28"/>
          <w:vertAlign w:val="subscript"/>
        </w:rPr>
        <w:t>2</w:t>
      </w:r>
      <w:r>
        <w:rPr>
          <w:sz w:val="28"/>
        </w:rPr>
        <w:t>, РР.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Написать последовательность ферментативных реакций окисления глицерола до стадии образования ПВК. Подсчитать энергетический эффект.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Заполнить таблицу</w:t>
      </w:r>
    </w:p>
    <w:p>
      <w:pPr>
        <w:tabs>
          <w:tab w:val="left" w:pos="360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Сравнительная характеристика липаз</w:t>
      </w:r>
    </w:p>
    <w:tbl>
      <w:tblPr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1E0"/>
      </w:tblPr>
      <w:tblGrid/>
      <w:tr>
        <w:tc>
          <w:tcPr>
            <w:tcW w:w="250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525" w:type="dxa"/>
          </w:tcPr>
          <w:p>
            <w:pPr>
              <w:jc w:val="center"/>
              <w:rPr>
                <w:i w:val="1"/>
                <w:sz w:val="28"/>
              </w:rPr>
            </w:pPr>
            <w:r>
              <w:rPr>
                <w:i w:val="1"/>
                <w:sz w:val="28"/>
              </w:rPr>
              <w:t>Панкреатическая липаза</w:t>
            </w:r>
          </w:p>
        </w:tc>
        <w:tc>
          <w:tcPr>
            <w:tcW w:w="2872" w:type="dxa"/>
          </w:tcPr>
          <w:p>
            <w:pPr>
              <w:jc w:val="center"/>
              <w:rPr>
                <w:i w:val="1"/>
                <w:sz w:val="28"/>
              </w:rPr>
            </w:pPr>
            <w:r>
              <w:rPr>
                <w:i w:val="1"/>
                <w:sz w:val="28"/>
              </w:rPr>
              <w:t>Липопротеинлипаза</w:t>
            </w:r>
          </w:p>
        </w:tc>
        <w:tc>
          <w:tcPr>
            <w:tcW w:w="2232" w:type="dxa"/>
          </w:tcPr>
          <w:p>
            <w:pPr>
              <w:jc w:val="center"/>
              <w:rPr>
                <w:i w:val="1"/>
                <w:sz w:val="28"/>
              </w:rPr>
            </w:pPr>
            <w:r>
              <w:rPr>
                <w:i w:val="1"/>
                <w:sz w:val="28"/>
              </w:rPr>
              <w:t>ТАГ-липаза</w:t>
            </w:r>
          </w:p>
        </w:tc>
      </w:tr>
      <w:tr>
        <w:tc>
          <w:tcPr>
            <w:tcW w:w="2508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Локализация реакции</w:t>
            </w:r>
          </w:p>
        </w:tc>
        <w:tc>
          <w:tcPr>
            <w:tcW w:w="2525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7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32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c>
          <w:tcPr>
            <w:tcW w:w="2508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Активаторы реакции</w:t>
            </w:r>
          </w:p>
        </w:tc>
        <w:tc>
          <w:tcPr>
            <w:tcW w:w="2525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7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32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c>
          <w:tcPr>
            <w:tcW w:w="2508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Субстраты реакции</w:t>
            </w:r>
          </w:p>
        </w:tc>
        <w:tc>
          <w:tcPr>
            <w:tcW w:w="2525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7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32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c>
          <w:tcPr>
            <w:tcW w:w="2508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Основные продукты реакции</w:t>
            </w:r>
          </w:p>
        </w:tc>
        <w:tc>
          <w:tcPr>
            <w:tcW w:w="2525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7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32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c>
          <w:tcPr>
            <w:tcW w:w="2508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Судьба продуктов реакции</w:t>
            </w:r>
          </w:p>
        </w:tc>
        <w:tc>
          <w:tcPr>
            <w:tcW w:w="2525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7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32" w:type="dxa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w:t>ОСНОВНАЯ УЧЕБНАЯ ЛИТЕРАТУРА</w:t>
      </w:r>
    </w:p>
    <w:p>
      <w:pPr>
        <w:pStyle w:val="P2"/>
        <w:numPr>
          <w:ilvl w:val="0"/>
          <w:numId w:val="4"/>
        </w:numPr>
        <w:tabs>
          <w:tab w:val="left" w:pos="360" w:leader="none"/>
        </w:tabs>
        <w:rPr>
          <w:sz w:val="28"/>
        </w:rPr>
      </w:pPr>
      <w:r>
        <w:rPr>
          <w:sz w:val="28"/>
        </w:rPr>
        <w:t>1.Биологическая химия [Текст]: учебник / под ред. чл.-корр. РАН, проф. С.Е. Северина.-М.:ГЭОТАР - Медиа, 2012.- 624 с.</w:t>
      </w:r>
    </w:p>
    <w:p>
      <w:pPr>
        <w:pStyle w:val="P1"/>
        <w:rPr>
          <w:sz w:val="28"/>
        </w:rPr>
      </w:pPr>
      <w:r>
        <w:rPr>
          <w:sz w:val="28"/>
        </w:rPr>
        <w:t>ДОПОЛНИТЕЛЬНАЯ ЛИТЕРАТУРА</w:t>
      </w:r>
    </w:p>
    <w:p>
      <w:pPr>
        <w:numPr>
          <w:ilvl w:val="0"/>
          <w:numId w:val="5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Березов, Т.Т. Биохимия [Текст]: учебник / Т.Т.Березов, Б.Ф. Коровкин.-М.: Медицина, 2007.- 704 с.</w:t>
      </w:r>
    </w:p>
    <w:p>
      <w:pPr>
        <w:numPr>
          <w:ilvl w:val="0"/>
          <w:numId w:val="5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Биологическая химия [Текст] : учебник для мед. вузов / Е.С. Северин [и др.]. – М.: МИА, 2008.- 368 с.</w:t>
      </w:r>
    </w:p>
    <w:p>
      <w:pPr>
        <w:numPr>
          <w:ilvl w:val="0"/>
          <w:numId w:val="5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Чиркин, А.А. Биохимия / А.А. Чиркин, Е.О. Данченко.- М.: Медицинская литература, 2010.- 605 с.</w:t>
      </w:r>
    </w:p>
    <w:p>
      <w:bookmarkStart w:id="0" w:name="_GoBack"/>
      <w:bookmarkEnd w:id="0"/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3AB442A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1C3E2956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2A623A07"/>
    <w:multiLevelType w:val="hybridMultilevel"/>
    <w:lvl w:ilvl="0">
      <w:start w:val="1"/>
      <w:numFmt w:val="bullet"/>
      <w:suff w:val="tab"/>
      <w:lvlText w:val=""/>
      <w:lvlJc w:val="left"/>
      <w:pPr>
        <w:ind w:hanging="360" w:left="360"/>
        <w:tabs>
          <w:tab w:val="left" w:pos="360" w:leader="none"/>
        </w:tabs>
      </w:pPr>
      <w:rPr>
        <w:rFonts w:ascii="Wingdings" w:hAnsi="Wingdings"/>
      </w:rPr>
    </w:lvl>
    <w:lvl w:ilvl="1" w:tplc="0AFB87C5">
      <w:start w:val="1"/>
      <w:numFmt w:val="decimal"/>
      <w:suff w:val="tab"/>
      <w:lvlText w:val="%1."/>
      <w:lvlJc w:val="left"/>
      <w:pPr/>
      <w:rPr/>
    </w:lvl>
    <w:lvl w:ilvl="2" w:tplc="7B4ED052">
      <w:start w:val="1"/>
      <w:numFmt w:val="decimal"/>
      <w:suff w:val="tab"/>
      <w:lvlText w:val="%1."/>
      <w:lvlJc w:val="left"/>
      <w:pPr/>
      <w:rPr/>
    </w:lvl>
    <w:lvl w:ilvl="3" w:tplc="5E4039B5">
      <w:start w:val="1"/>
      <w:numFmt w:val="decimal"/>
      <w:suff w:val="tab"/>
      <w:lvlText w:val="%1."/>
      <w:lvlJc w:val="left"/>
      <w:pPr/>
      <w:rPr/>
    </w:lvl>
    <w:lvl w:ilvl="4" w:tplc="54742993">
      <w:start w:val="1"/>
      <w:numFmt w:val="decimal"/>
      <w:suff w:val="tab"/>
      <w:lvlText w:val="%1."/>
      <w:lvlJc w:val="left"/>
      <w:pPr/>
      <w:rPr/>
    </w:lvl>
    <w:lvl w:ilvl="5" w:tplc="3D7042B6">
      <w:start w:val="1"/>
      <w:numFmt w:val="decimal"/>
      <w:suff w:val="tab"/>
      <w:lvlText w:val="%1."/>
      <w:lvlJc w:val="left"/>
      <w:pPr/>
      <w:rPr/>
    </w:lvl>
    <w:lvl w:ilvl="6" w:tplc="32DED191">
      <w:start w:val="1"/>
      <w:numFmt w:val="decimal"/>
      <w:suff w:val="tab"/>
      <w:lvlText w:val="%1."/>
      <w:lvlJc w:val="left"/>
      <w:pPr/>
      <w:rPr/>
    </w:lvl>
    <w:lvl w:ilvl="7" w:tplc="29D9F584">
      <w:start w:val="1"/>
      <w:numFmt w:val="decimal"/>
      <w:suff w:val="tab"/>
      <w:lvlText w:val="%1."/>
      <w:lvlJc w:val="left"/>
      <w:pPr/>
      <w:rPr/>
    </w:lvl>
    <w:lvl w:ilvl="8" w:tplc="1E456AFE">
      <w:start w:val="1"/>
      <w:numFmt w:val="decimal"/>
      <w:suff w:val="tab"/>
      <w:lvlText w:val="%1."/>
      <w:lvlJc w:val="left"/>
      <w:pPr/>
      <w:rPr/>
    </w:lvl>
  </w:abstractNum>
  <w:abstractNum w:abstractNumId="3">
    <w:nsid w:val="48603F15"/>
    <w:multiLevelType w:val="hybridMultilevel"/>
    <w:lvl w:ilvl="0">
      <w:start w:val="1"/>
      <w:numFmt w:val="decimal"/>
      <w:suff w:val="tab"/>
      <w:lvlText w:val="%1."/>
      <w:legacy w:legacy="1" w:legacyIndent="360" w:legacySpace="0"/>
      <w:lvlJc w:val="left"/>
      <w:pPr>
        <w:ind w:hanging="360" w:left="360"/>
      </w:pPr>
      <w:rPr/>
    </w:lvl>
    <w:lvl w:ilvl="1" w:tplc="16ABDA98">
      <w:start w:val="1"/>
      <w:numFmt w:val="decimal"/>
      <w:suff w:val="tab"/>
      <w:lvlText w:val="%1."/>
      <w:lvlJc w:val="left"/>
      <w:pPr/>
      <w:rPr/>
    </w:lvl>
    <w:lvl w:ilvl="2" w:tplc="0BD559C6">
      <w:start w:val="1"/>
      <w:numFmt w:val="decimal"/>
      <w:suff w:val="tab"/>
      <w:lvlText w:val="%1."/>
      <w:lvlJc w:val="left"/>
      <w:pPr/>
      <w:rPr/>
    </w:lvl>
    <w:lvl w:ilvl="3" w:tplc="77F17668">
      <w:start w:val="1"/>
      <w:numFmt w:val="decimal"/>
      <w:suff w:val="tab"/>
      <w:lvlText w:val="%1."/>
      <w:lvlJc w:val="left"/>
      <w:pPr/>
      <w:rPr/>
    </w:lvl>
    <w:lvl w:ilvl="4" w:tplc="53853415">
      <w:start w:val="1"/>
      <w:numFmt w:val="decimal"/>
      <w:suff w:val="tab"/>
      <w:lvlText w:val="%1."/>
      <w:lvlJc w:val="left"/>
      <w:pPr/>
      <w:rPr/>
    </w:lvl>
    <w:lvl w:ilvl="5" w:tplc="5A33B8FE">
      <w:start w:val="1"/>
      <w:numFmt w:val="decimal"/>
      <w:suff w:val="tab"/>
      <w:lvlText w:val="%1."/>
      <w:lvlJc w:val="left"/>
      <w:pPr/>
      <w:rPr/>
    </w:lvl>
    <w:lvl w:ilvl="6" w:tplc="53DF6BDC">
      <w:start w:val="1"/>
      <w:numFmt w:val="decimal"/>
      <w:suff w:val="tab"/>
      <w:lvlText w:val="%1."/>
      <w:lvlJc w:val="left"/>
      <w:pPr/>
      <w:rPr/>
    </w:lvl>
    <w:lvl w:ilvl="7" w:tplc="56F16BE8">
      <w:start w:val="1"/>
      <w:numFmt w:val="decimal"/>
      <w:suff w:val="tab"/>
      <w:lvlText w:val="%1."/>
      <w:lvlJc w:val="left"/>
      <w:pPr/>
      <w:rPr/>
    </w:lvl>
    <w:lvl w:ilvl="8" w:tplc="42E8F66D">
      <w:start w:val="1"/>
      <w:numFmt w:val="decimal"/>
      <w:suff w:val="tab"/>
      <w:lvlText w:val="%1."/>
      <w:lvlJc w:val="left"/>
      <w:pPr/>
      <w:rPr/>
    </w:lvl>
  </w:abstractNum>
  <w:abstractNum w:abstractNumId="4">
    <w:nsid w:val="7E2F2825"/>
    <w:multiLevelType w:val="hybridMultilevel"/>
    <w:lvl w:ilvl="0">
      <w:start w:val="1"/>
      <w:numFmt w:val="decimal"/>
      <w:suff w:val="tab"/>
      <w:lvlText w:val="%1."/>
      <w:legacy w:legacy="1" w:legacyIndent="360" w:legacySpace="0"/>
      <w:lvlJc w:val="left"/>
      <w:pPr>
        <w:ind w:hanging="360" w:left="360"/>
      </w:pPr>
      <w:rPr/>
    </w:lvl>
    <w:lvl w:ilvl="1" w:tplc="2243D385">
      <w:start w:val="1"/>
      <w:numFmt w:val="decimal"/>
      <w:suff w:val="tab"/>
      <w:lvlText w:val="%1."/>
      <w:lvlJc w:val="left"/>
      <w:pPr/>
      <w:rPr/>
    </w:lvl>
    <w:lvl w:ilvl="2" w:tplc="0E5788D8">
      <w:start w:val="1"/>
      <w:numFmt w:val="decimal"/>
      <w:suff w:val="tab"/>
      <w:lvlText w:val="%1."/>
      <w:lvlJc w:val="left"/>
      <w:pPr/>
      <w:rPr/>
    </w:lvl>
    <w:lvl w:ilvl="3" w:tplc="5177FC25">
      <w:start w:val="1"/>
      <w:numFmt w:val="decimal"/>
      <w:suff w:val="tab"/>
      <w:lvlText w:val="%1."/>
      <w:lvlJc w:val="left"/>
      <w:pPr/>
      <w:rPr/>
    </w:lvl>
    <w:lvl w:ilvl="4" w:tplc="1F77D1B0">
      <w:start w:val="1"/>
      <w:numFmt w:val="decimal"/>
      <w:suff w:val="tab"/>
      <w:lvlText w:val="%1."/>
      <w:lvlJc w:val="left"/>
      <w:pPr/>
      <w:rPr/>
    </w:lvl>
    <w:lvl w:ilvl="5" w:tplc="6C92D4D6">
      <w:start w:val="1"/>
      <w:numFmt w:val="decimal"/>
      <w:suff w:val="tab"/>
      <w:lvlText w:val="%1."/>
      <w:lvlJc w:val="left"/>
      <w:pPr/>
      <w:rPr/>
    </w:lvl>
    <w:lvl w:ilvl="6" w:tplc="7E0D2975">
      <w:start w:val="1"/>
      <w:numFmt w:val="decimal"/>
      <w:suff w:val="tab"/>
      <w:lvlText w:val="%1."/>
      <w:lvlJc w:val="left"/>
      <w:pPr/>
      <w:rPr/>
    </w:lvl>
    <w:lvl w:ilvl="7" w:tplc="23391BF8">
      <w:start w:val="1"/>
      <w:numFmt w:val="decimal"/>
      <w:suff w:val="tab"/>
      <w:lvlText w:val="%1."/>
      <w:lvlJc w:val="left"/>
      <w:pPr/>
      <w:rPr/>
    </w:lvl>
    <w:lvl w:ilvl="8" w:tplc="7826464C">
      <w:start w:val="1"/>
      <w:numFmt w:val="decimal"/>
      <w:suff w:val="tab"/>
      <w:lvlText w:val="%1."/>
      <w:lvlJc w:val="left"/>
      <w:pPr/>
      <w:rPr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0"/>
    </w:rPr>
  </w:style>
  <w:style w:type="paragraph" w:styleId="P1">
    <w:name w:val="heading 1"/>
    <w:basedOn w:val="P0"/>
    <w:next w:val="P0"/>
    <w:link w:val="C3"/>
    <w:qFormat/>
    <w:pPr>
      <w:keepNext w:val="1"/>
      <w:jc w:val="center"/>
      <w:outlineLvl w:val="0"/>
    </w:pPr>
    <w:rPr>
      <w:sz w:val="24"/>
    </w:rPr>
  </w:style>
  <w:style w:type="paragraph" w:styleId="P2">
    <w:name w:val="Body Text"/>
    <w:basedOn w:val="P0"/>
    <w:link w:val="C4"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1 Знак"/>
    <w:basedOn w:val="C0"/>
    <w:link w:val="P1"/>
    <w:rPr>
      <w:sz w:val="24"/>
    </w:rPr>
  </w:style>
  <w:style w:type="character" w:styleId="C4">
    <w:name w:val="Основной текст Знак"/>
    <w:basedOn w:val="C0"/>
    <w:link w:val="P2"/>
    <w:rPr>
      <w:sz w:val="24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