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009EB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Autospacing="0" w:afterAutospacing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Т</w:t>
      </w:r>
      <w:r>
        <w:rPr>
          <w:b w:val="1"/>
          <w:sz w:val="28"/>
        </w:rPr>
        <w:t>ема 2.1: «ОБМЕН ВЕЩЕСТВ И МЕТАБОЛИЗМ</w:t>
      </w:r>
      <w:r>
        <w:rPr>
          <w:b w:val="1"/>
          <w:caps w:val="1"/>
          <w:sz w:val="28"/>
        </w:rPr>
        <w:t>»</w:t>
      </w:r>
    </w:p>
    <w:p>
      <w:p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Обоснование темы.  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</w:rPr>
        <w:t xml:space="preserve">Знание особенностей процессов, протекающих в организме, необходимо для формирования у врача представлений о механизмах энергообеспечения организма в норме и причинах его нарушений при патологии. </w:t>
      </w:r>
    </w:p>
    <w:p>
      <w:pPr>
        <w:spacing w:lineRule="auto" w:line="360" w:beforeAutospacing="0" w:afterAutospacing="0"/>
        <w:ind w:firstLine="720"/>
        <w:jc w:val="both"/>
        <w:rPr>
          <w:sz w:val="28"/>
          <w:u w:val="single"/>
        </w:rPr>
      </w:pPr>
      <w:r>
        <w:rPr>
          <w:sz w:val="28"/>
          <w:u w:val="single"/>
        </w:rPr>
        <w:t>Цель занятия</w:t>
      </w:r>
    </w:p>
    <w:p>
      <w:pPr>
        <w:numPr>
          <w:ilvl w:val="0"/>
          <w:numId w:val="2"/>
        </w:numPr>
        <w:tabs>
          <w:tab w:val="left" w:pos="1080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Изучить понятие обмена веществ, пути метаболизма, назначение метаболизма;</w:t>
      </w:r>
    </w:p>
    <w:p>
      <w:pPr>
        <w:numPr>
          <w:ilvl w:val="0"/>
          <w:numId w:val="2"/>
        </w:numPr>
        <w:tabs>
          <w:tab w:val="left" w:pos="1080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Знать характеристику и особенности катаболизма и анаболизма;</w:t>
      </w:r>
    </w:p>
    <w:p>
      <w:pPr>
        <w:numPr>
          <w:ilvl w:val="0"/>
          <w:numId w:val="2"/>
        </w:numPr>
        <w:tabs>
          <w:tab w:val="left" w:pos="1080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Уметь характеризовать стадии катаболизма, ключевые и конечные продукты катаболизма;</w:t>
      </w:r>
    </w:p>
    <w:p>
      <w:pPr>
        <w:numPr>
          <w:ilvl w:val="0"/>
          <w:numId w:val="2"/>
        </w:numPr>
        <w:tabs>
          <w:tab w:val="left" w:pos="1080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Знать характеристику фаз биологического окисления;</w:t>
      </w:r>
    </w:p>
    <w:p>
      <w:pPr>
        <w:numPr>
          <w:ilvl w:val="0"/>
          <w:numId w:val="2"/>
        </w:numPr>
        <w:tabs>
          <w:tab w:val="left" w:pos="1134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Познакомить с методом определения концентрации общего ключевого метаболита – ПВК в крови.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  <w:u w:val="single"/>
        </w:rPr>
        <w:t>Необходимый исходный</w:t>
      </w:r>
      <w:r>
        <w:rPr>
          <w:sz w:val="28"/>
        </w:rPr>
        <w:t xml:space="preserve"> </w:t>
      </w:r>
      <w:r>
        <w:rPr>
          <w:sz w:val="28"/>
          <w:u w:val="single"/>
        </w:rPr>
        <w:t>уровень</w:t>
      </w:r>
      <w:r>
        <w:rPr>
          <w:sz w:val="28"/>
        </w:rPr>
        <w:t>: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</w:rPr>
        <w:t xml:space="preserve">-  из курса биоорганической химии студент должен знать формульный материал по строению оксо – (кетокислот) и оксикислот (гидроксикислот), а также формулы основных макроэргов (АТФ, ГТФ, креатинфосфат)</w:t>
      </w:r>
    </w:p>
    <w:p>
      <w:pPr>
        <w:tabs>
          <w:tab w:val="left" w:pos="1080" w:leader="none"/>
        </w:tabs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- из курса биологии и физиологии знать понятия обмена веществ и энергии, метаболизма и взаимосвязь различных метаболических путей.</w:t>
      </w:r>
    </w:p>
    <w:p>
      <w:pPr>
        <w:tabs>
          <w:tab w:val="left" w:pos="1080" w:leader="none"/>
        </w:tabs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  <w:u w:val="single"/>
        </w:rPr>
        <w:t>Основные понятия темы</w:t>
      </w:r>
      <w:r>
        <w:rPr>
          <w:sz w:val="28"/>
        </w:rPr>
        <w:t>: метаболизм, метаболические пути. Анаболизм, катаболизм. Биологическое окисление. Роль АТФ.</w:t>
      </w: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/>
    <w:p>
      <w:pPr>
        <w:numPr>
          <w:ilvl w:val="0"/>
          <w:numId w:val="4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Понятие об обмене веществ и энергии, метаболизм. Анаболизм и катаболизм. Роль АТФ в жизнедеятельности клеток.</w:t>
      </w:r>
    </w:p>
    <w:p>
      <w:pPr>
        <w:numPr>
          <w:ilvl w:val="0"/>
          <w:numId w:val="4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Понятие о специфических и общих путях метаболизма. Ключевые метаболиты.</w:t>
      </w:r>
    </w:p>
    <w:p>
      <w:pPr>
        <w:numPr>
          <w:ilvl w:val="0"/>
          <w:numId w:val="4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Стадии катаболизма основных пищевых веществ, их характеристика.</w:t>
      </w:r>
    </w:p>
    <w:p>
      <w:pPr>
        <w:numPr>
          <w:ilvl w:val="0"/>
          <w:numId w:val="4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Понятие о биологическом окислении. Стадии биологического окисления и их общая характеристика.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а)  1-ая фаза биологического окисления - образование ацетил – КоА;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б)  2-ая фаза биологического окисления - дальнейшее превращение ацетил - КоА   в цикле трикарбоновых кислот (ЦТК); 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в) 3-я фаза биологического окисления - терминальная, заключительная - аэробная -  тканевое дыхание. Роль кислорода в биологическом окислении.</w:t>
      </w:r>
    </w:p>
    <w:p>
      <w:pPr>
        <w:pStyle w:val="P1"/>
        <w:ind w:firstLine="0" w:left="0"/>
        <w:rPr>
          <w:b w:val="1"/>
          <w:sz w:val="28"/>
        </w:rPr>
      </w:pPr>
    </w:p>
    <w:p>
      <w:pPr>
        <w:pStyle w:val="P1"/>
        <w:ind w:firstLine="0" w:left="0"/>
        <w:rPr>
          <w:b w:val="1"/>
          <w:sz w:val="28"/>
        </w:rPr>
      </w:pPr>
      <w:r>
        <w:rPr>
          <w:b w:val="1"/>
          <w:sz w:val="28"/>
        </w:rPr>
        <w:t>МЕТОДИЧЕСКИЕ УКАЗАНИЯ К ПРАКТИЧЕСКОЙ ЧАСТИ ЗАНЯТИЯ</w:t>
      </w: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Лабораторная работа 1</w:t>
      </w:r>
    </w:p>
    <w:p>
      <w:pPr>
        <w:spacing w:lineRule="auto" w:line="360" w:beforeAutospacing="0" w:afterAutospacing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Определение содержания пировиноградной кислоты в крови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i w:val="1"/>
          <w:sz w:val="28"/>
          <w:u w:val="single"/>
        </w:rPr>
        <w:t>Принцип метода</w:t>
      </w:r>
      <w:r>
        <w:rPr>
          <w:sz w:val="28"/>
        </w:rPr>
        <w:t>: пировиноградная кислота конденсируется с 2,4 - динитрофенилгидразином с образованием гидразона ПВК, который в щелочной среде дает коричнево-красный цвет раствора. Интенсивность окраски зависит от содержания ПВК. Окрашенный раствор колориметрируют на ФЭК и по величине оптической плотности рассчитывают количество пировиноградной кислоты (ПВК).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  <w:u w:val="single"/>
        </w:rPr>
        <w:t xml:space="preserve">Ход </w:t>
      </w:r>
      <w:r>
        <w:rPr>
          <w:i w:val="1"/>
          <w:sz w:val="28"/>
          <w:u w:val="single"/>
        </w:rPr>
        <w:t>работы</w:t>
      </w:r>
      <w:r>
        <w:rPr>
          <w:sz w:val="28"/>
        </w:rPr>
        <w:t>: готовят две пробы: опытную (№ 1) и контрольную (№ 2).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  <w:u w:val="single"/>
        </w:rPr>
        <w:t>Проба № 1 (опыт)</w:t>
      </w:r>
      <w:r>
        <w:rPr>
          <w:sz w:val="28"/>
        </w:rPr>
        <w:t xml:space="preserve"> - 0,3 мл крови смешивают в центрифужной пробирке с 0,7 мл дистиллированной воды. К гемолизату приливают 1 мл 10% раствора ТХУ и через 2-3 мин. центрифугируют при 1500 оборотов в минуту в течение 15 минут.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</w:rPr>
        <w:t>Надосадочную жидкость (супернатант) полностью сливают в пробирку, к ней прибавляют 0,5 мл раствора ДНФГ, перемешивают и на 20 минут помещают в темное место.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</w:rPr>
        <w:t xml:space="preserve">Затем приливают 1 мл 12% NaOH и через 5 минут определяют на ФЭК оптическую плотность в  5 мм кювете с синим светофильтром.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  <w:u w:val="single"/>
        </w:rPr>
        <w:t>Проба № 2 (контроль)</w:t>
      </w:r>
      <w:r>
        <w:rPr>
          <w:sz w:val="28"/>
        </w:rPr>
        <w:t xml:space="preserve"> - Контрольная проба готовится таким же образом, только вместо крови используют воду.</w:t>
      </w:r>
    </w:p>
    <w:p>
      <w:pPr>
        <w:spacing w:lineRule="auto" w:line="360" w:beforeAutospacing="0" w:afterAutospacing="0"/>
        <w:ind w:firstLine="567"/>
        <w:jc w:val="both"/>
        <w:rPr>
          <w:sz w:val="28"/>
        </w:rPr>
      </w:pPr>
      <w:r>
        <w:rPr>
          <w:sz w:val="28"/>
        </w:rPr>
        <w:t>Количество пировиноградной кислоты рассчитывают по калибровочному графику.</w:t>
      </w:r>
    </w:p>
    <w:p>
      <w:pPr>
        <w:pStyle w:val="P3"/>
        <w:keepNext w:val="0"/>
        <w:rPr>
          <w:sz w:val="28"/>
        </w:rPr>
      </w:pPr>
      <w:r>
        <w:rPr>
          <w:sz w:val="28"/>
        </w:rPr>
        <w:t>В норме в крови содержится - 0,4 - 0,8 мг/100 мл ПВК (0,0456 - 0,0912 ммоль/л)</w:t>
      </w:r>
    </w:p>
    <w:p>
      <w:pPr>
        <w:pStyle w:val="P3"/>
        <w:keepNext w:val="0"/>
        <w:rPr>
          <w:sz w:val="28"/>
        </w:rPr>
      </w:pPr>
      <w:r>
        <w:rPr>
          <w:sz w:val="28"/>
        </w:rPr>
        <w:t>Коэффициент пересчета в систему СИ - 0,114</w:t>
      </w:r>
    </w:p>
    <w:p>
      <w:pPr>
        <w:rPr>
          <w:i w:val="1"/>
          <w:sz w:val="28"/>
        </w:rPr>
      </w:pPr>
      <w:r>
        <w:rPr>
          <w:i w:val="1"/>
          <w:sz w:val="28"/>
        </w:rPr>
        <w:t>Результат:</w:t>
      </w:r>
    </w:p>
    <w:p>
      <w:pPr>
        <w:rPr>
          <w:i w:val="1"/>
          <w:sz w:val="28"/>
        </w:rPr>
      </w:pPr>
    </w:p>
    <w:p>
      <w:pPr>
        <w:rPr>
          <w:i w:val="1"/>
          <w:sz w:val="28"/>
        </w:rPr>
      </w:pPr>
    </w:p>
    <w:p>
      <w:pPr>
        <w:rPr>
          <w:i w:val="1"/>
          <w:sz w:val="28"/>
        </w:rPr>
      </w:pPr>
      <w:r>
        <w:rPr>
          <w:i w:val="1"/>
          <w:sz w:val="28"/>
        </w:rPr>
        <w:t>Вывод: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Клинико-диагностическое значение. </w:t>
      </w:r>
      <w:r>
        <w:rPr>
          <w:sz w:val="28"/>
        </w:rPr>
        <w:t>Увеличение пировиноградной кислоты в крови наблюдается при недостатке витамина В</w:t>
      </w:r>
      <w:r>
        <w:rPr>
          <w:sz w:val="28"/>
          <w:vertAlign w:val="subscript"/>
        </w:rPr>
        <w:t>1</w:t>
      </w:r>
      <w:r>
        <w:rPr>
          <w:sz w:val="28"/>
        </w:rPr>
        <w:t>, после введения некоторых лекарств: адреналина. Уменьшение содержания этой кислоты в крови отмечается при наркозе.</w:t>
      </w:r>
    </w:p>
    <w:p>
      <w:pPr>
        <w:pStyle w:val="P3"/>
        <w:jc w:val="center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pStyle w:val="P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Написать формулу АТФ, обозначить макроэргические связи</w:t>
      </w:r>
    </w:p>
    <w:p>
      <w:pPr>
        <w:pStyle w:val="P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Написать формулы других макроэргов: ГТФ, УТФ, ЦТФ, креатинфосфата, фосфоенолпирувата.</w:t>
      </w:r>
    </w:p>
    <w:p>
      <w:pPr>
        <w:pStyle w:val="P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Схематически изобразить три стадии катаболизма основных пищевых веществ.</w:t>
      </w:r>
    </w:p>
    <w:p>
      <w:pPr>
        <w:pStyle w:val="P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Выписать формулы ключевых метаболитов.</w:t>
      </w:r>
    </w:p>
    <w:p>
      <w:pPr>
        <w:pStyle w:val="P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Выписать формулу общего ключевого метаболита и показать возможные пути его образования.</w:t>
      </w:r>
    </w:p>
    <w:p>
      <w:pPr>
        <w:pStyle w:val="P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Написать формулу центрального ключевого метаболита – ацетил-СоА.</w:t>
      </w: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2"/>
        <w:numPr>
          <w:ilvl w:val="0"/>
          <w:numId w:val="3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с упражнениями и задачами [Текст]: учебник / под ред. С.Е. Северина. – М.: ГЭОТАР – Медиа, 2012.-622 с.</w:t>
      </w:r>
    </w:p>
    <w:p>
      <w:pPr>
        <w:pStyle w:val="P2"/>
        <w:tabs>
          <w:tab w:val="left" w:pos="360" w:leader="none"/>
        </w:tabs>
        <w:jc w:val="center"/>
        <w:rPr>
          <w:sz w:val="28"/>
        </w:rPr>
      </w:pPr>
    </w:p>
    <w:p>
      <w:pPr>
        <w:pStyle w:val="P2"/>
        <w:tabs>
          <w:tab w:val="left" w:pos="360" w:leader="none"/>
        </w:tabs>
        <w:jc w:val="center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pStyle w:val="P2"/>
        <w:tabs>
          <w:tab w:val="left" w:pos="360" w:leader="none"/>
        </w:tabs>
        <w:rPr>
          <w:sz w:val="28"/>
        </w:rPr>
      </w:pPr>
      <w:r>
        <w:rPr>
          <w:sz w:val="28"/>
        </w:rPr>
        <w:t xml:space="preserve">1. Биохимия [Текст]: руководство к практическим занятиям / под ред. Н.Н.   Чернова.- М.:ГЭОТАР-Медиа, 2009, 240 с.</w:t>
      </w:r>
    </w:p>
    <w:p>
      <w:pPr>
        <w:jc w:val="both"/>
        <w:rPr>
          <w:sz w:val="28"/>
        </w:rPr>
      </w:pPr>
      <w:r>
        <w:rPr>
          <w:sz w:val="28"/>
        </w:rPr>
        <w:t>2. Биохимия [ Текст]: учеб. для вузов / Т.Л. Алейникова, Л.В. Авдеева, Л.Е. Андрианова и др.; под ред. Е.С. Северина. – 4-е изд., испр. – М.: ГЭОТАР – Медиа, 2007. -784 с.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3. Нельсон, Д. Основы биохимии Ленинджера. В трех томах. / Д.Нельсон, М Кокс.  -М.: Бином. Лабораторные знания, 2011.- т.1 -682 с.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4. Николаев, А.Я. Биологическая химия [Текст] : учеб. для студентов мед. вузов / А.Я. Николаев.- 3-е изд., перераб. и доп. – М.: Медицинское информ. Агентство, 2007.- 568 с.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FB87D0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2398486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2">
    <w:nsid w:val="629A07A9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231D0F03">
      <w:start w:val="1"/>
      <w:numFmt w:val="decimal"/>
      <w:suff w:val="tab"/>
      <w:lvlText w:val="%1."/>
      <w:lvlJc w:val="left"/>
      <w:pPr/>
      <w:rPr/>
    </w:lvl>
    <w:lvl w:ilvl="2" w:tplc="7143B191">
      <w:start w:val="1"/>
      <w:numFmt w:val="decimal"/>
      <w:suff w:val="tab"/>
      <w:lvlText w:val="%1."/>
      <w:lvlJc w:val="left"/>
      <w:pPr/>
      <w:rPr/>
    </w:lvl>
    <w:lvl w:ilvl="3" w:tplc="517ACBA5">
      <w:start w:val="1"/>
      <w:numFmt w:val="decimal"/>
      <w:suff w:val="tab"/>
      <w:lvlText w:val="%1."/>
      <w:lvlJc w:val="left"/>
      <w:pPr/>
      <w:rPr/>
    </w:lvl>
    <w:lvl w:ilvl="4" w:tplc="0E83DF52">
      <w:start w:val="1"/>
      <w:numFmt w:val="decimal"/>
      <w:suff w:val="tab"/>
      <w:lvlText w:val="%1."/>
      <w:lvlJc w:val="left"/>
      <w:pPr/>
      <w:rPr/>
    </w:lvl>
    <w:lvl w:ilvl="5" w:tplc="3AC518BA">
      <w:start w:val="1"/>
      <w:numFmt w:val="decimal"/>
      <w:suff w:val="tab"/>
      <w:lvlText w:val="%1."/>
      <w:lvlJc w:val="left"/>
      <w:pPr/>
      <w:rPr/>
    </w:lvl>
    <w:lvl w:ilvl="6" w:tplc="0BD67BDB">
      <w:start w:val="1"/>
      <w:numFmt w:val="decimal"/>
      <w:suff w:val="tab"/>
      <w:lvlText w:val="%1."/>
      <w:lvlJc w:val="left"/>
      <w:pPr/>
      <w:rPr/>
    </w:lvl>
    <w:lvl w:ilvl="7" w:tplc="422DB33A">
      <w:start w:val="1"/>
      <w:numFmt w:val="decimal"/>
      <w:suff w:val="tab"/>
      <w:lvlText w:val="%1."/>
      <w:lvlJc w:val="left"/>
      <w:pPr/>
      <w:rPr/>
    </w:lvl>
    <w:lvl w:ilvl="8" w:tplc="6D0B3BE3">
      <w:start w:val="1"/>
      <w:numFmt w:val="decimal"/>
      <w:suff w:val="tab"/>
      <w:lvlText w:val="%1."/>
      <w:lvlJc w:val="left"/>
      <w:pPr/>
      <w:rPr/>
    </w:lvl>
  </w:abstractNum>
  <w:abstractNum w:abstractNumId="3">
    <w:nsid w:val="797F411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9"/>
    <w:basedOn w:val="P0"/>
    <w:next w:val="P0"/>
    <w:link w:val="C3"/>
    <w:qFormat/>
    <w:pPr>
      <w:keepNext w:val="1"/>
      <w:ind w:hanging="1701" w:left="1701"/>
      <w:jc w:val="center"/>
      <w:outlineLvl w:val="8"/>
    </w:pPr>
    <w:rPr>
      <w:sz w:val="24"/>
    </w:rPr>
  </w:style>
  <w:style w:type="paragraph" w:styleId="P2">
    <w:name w:val="Body Text"/>
    <w:basedOn w:val="P0"/>
    <w:link w:val="C4"/>
    <w:pPr>
      <w:jc w:val="both"/>
    </w:pPr>
    <w:rPr>
      <w:sz w:val="24"/>
    </w:rPr>
  </w:style>
  <w:style w:type="paragraph" w:styleId="P3">
    <w:name w:val="заголовок 6"/>
    <w:basedOn w:val="P0"/>
    <w:next w:val="P0"/>
    <w:pPr>
      <w:keepNext w:val="1"/>
      <w:spacing w:lineRule="auto" w:line="360" w:beforeAutospacing="0" w:afterAutospacing="0"/>
    </w:pPr>
    <w:rPr>
      <w:sz w:val="2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9 Знак"/>
    <w:basedOn w:val="C0"/>
    <w:link w:val="P1"/>
    <w:rPr>
      <w:sz w:val="24"/>
    </w:rPr>
  </w:style>
  <w:style w:type="character" w:styleId="C4">
    <w:name w:val="Основной текст Знак"/>
    <w:basedOn w:val="C0"/>
    <w:link w:val="P2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