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5E5D39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Лабораторное занятие № </w:t>
      </w:r>
      <w:r>
        <w:rPr>
          <w:rFonts w:ascii="Times New Roman" w:hAnsi="Times New Roman"/>
          <w:b w:val="1"/>
          <w:sz w:val="28"/>
        </w:rPr>
        <w:t>9</w:t>
      </w:r>
    </w:p>
    <w:p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Тема: </w:t>
      </w:r>
      <w:r>
        <w:rPr>
          <w:rFonts w:ascii="Times New Roman" w:hAnsi="Times New Roman"/>
          <w:b w:val="0"/>
          <w:sz w:val="28"/>
        </w:rPr>
        <w:t>Жидкие среды организма. Буферные системы: классификация, состав, свойства. Роль буферных систем в организме человека.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single"/>
        </w:rPr>
        <w:t>Цель занятия:</w:t>
      </w:r>
      <w:r>
        <w:rPr>
          <w:rFonts w:ascii="Times New Roman" w:hAnsi="Times New Roman"/>
          <w:sz w:val="28"/>
        </w:rPr>
        <w:t xml:space="preserve"> Сформировать знания состава, свойств и механизмов действия буферных систем организма для понимания их биологической роли. Постоянство реакции среды живых организмов обеспечивается прежде всего наличием пяти кислотных буферных систем: гидрокарбонатной, фосфатной, белковой, гемоглобиновой и оксигемоглобиновой (система гемоглобин-оксигемоглобин).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Исходный уровень: </w:t>
      </w:r>
      <w:r>
        <w:rPr>
          <w:rFonts w:ascii="Times New Roman" w:hAnsi="Times New Roman"/>
          <w:sz w:val="28"/>
        </w:rPr>
        <w:t xml:space="preserve">Из школьного курса знать: </w:t>
      </w:r>
    </w:p>
    <w:p>
      <w:pPr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Химическое равновесие и прогнозирование его смещения. Принцип Ле-Шателье.</w:t>
      </w:r>
    </w:p>
    <w:p>
      <w:pPr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Автопротолиз воды. Константа автопротолиза воды.</w:t>
      </w:r>
    </w:p>
    <w:p>
      <w:pPr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Водородный и гидроксидный показатели. Соотношение между [Н</w:t>
      </w:r>
      <w:r>
        <w:rPr>
          <w:rFonts w:ascii="Times New Roman" w:hAnsi="Times New Roman"/>
          <w:sz w:val="28"/>
          <w:vertAlign w:val="superscript"/>
        </w:rPr>
        <w:t>+</w:t>
      </w:r>
      <w:r>
        <w:rPr>
          <w:rFonts w:ascii="Times New Roman" w:hAnsi="Times New Roman"/>
          <w:sz w:val="28"/>
        </w:rPr>
        <w:t>] и [ОН</w:t>
      </w:r>
      <w:r>
        <w:rPr>
          <w:rFonts w:ascii="Times New Roman" w:hAnsi="Times New Roman"/>
          <w:sz w:val="28"/>
          <w:vertAlign w:val="superscript"/>
        </w:rPr>
        <w:t>–</w:t>
      </w:r>
      <w:r>
        <w:rPr>
          <w:rFonts w:ascii="Times New Roman" w:hAnsi="Times New Roman"/>
          <w:sz w:val="28"/>
        </w:rPr>
        <w:t>], рН и рОН.</w:t>
      </w:r>
    </w:p>
    <w:p>
      <w:pPr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и слабые электролиты. Степень диссоциации слабого электролита.</w:t>
      </w:r>
    </w:p>
    <w:p>
      <w:pPr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Амфолиты. ИЭТ.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Основные понятия темы:</w:t>
      </w:r>
      <w:r>
        <w:rPr>
          <w:rFonts w:ascii="Times New Roman" w:hAnsi="Times New Roman"/>
          <w:sz w:val="28"/>
        </w:rPr>
        <w:t xml:space="preserve"> Буферные системы, буферная емкость, кислотно-основное состояние организма, щелочной резерв крови, алкалоз, ацидоз.</w:t>
      </w:r>
    </w:p>
    <w:p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Вопросы к занятию:</w:t>
      </w:r>
    </w:p>
    <w:p>
      <w:pPr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Буферные системы: определение, состав, классификация.</w:t>
      </w:r>
    </w:p>
    <w:p>
      <w:pPr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Уравнение Гендерсона-Гассельбаха для расчета рН кислотных и основных буферных систем.</w:t>
      </w:r>
    </w:p>
    <w:p>
      <w:pPr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действия буферных систем при добавлении кислоты и щелочи (на примере ацетатной, аммиачной и белковой), разбавлении водой.</w:t>
      </w:r>
    </w:p>
    <w:p>
      <w:pPr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Буферная емкость и факторы на нее влияющие. Зона буферного действия.</w:t>
      </w:r>
    </w:p>
    <w:p>
      <w:pPr>
        <w:numPr>
          <w:ilvl w:val="0"/>
          <w:numId w:val="5"/>
        </w:numPr>
        <w:tabs>
          <w:tab w:val="left" w:pos="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Буферные системы крови: состав, классификация, рН, механизм действия гидрокарбонатной, фосфатной и белковой буферных систем при взаимодействии с кислотами и щелочами (ионная форма). </w:t>
      </w:r>
    </w:p>
    <w:p>
      <w:pPr>
        <w:numPr>
          <w:ilvl w:val="0"/>
          <w:numId w:val="5"/>
        </w:numPr>
        <w:tabs>
          <w:tab w:val="left" w:pos="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о кислотно-основном состоянии организма: определение, механизмы, регуляция.</w:t>
      </w:r>
    </w:p>
    <w:p>
      <w:pPr>
        <w:numPr>
          <w:ilvl w:val="0"/>
          <w:numId w:val="5"/>
        </w:numPr>
        <w:tabs>
          <w:tab w:val="left" w:pos="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Щелочной резерв крови (%, ммоль/л), коррекция КОС при его нарушениях.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буферного действия системы гемоглобин-оксигемоглобин.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Хронокарта занятия</w:t>
      </w:r>
    </w:p>
    <w:tbl>
      <w:tblPr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rPr>
          <w:jc w:val="center"/>
        </w:trPr>
        <w:tc>
          <w:tcPr>
            <w:tcW w:w="64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4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и содержание занятия 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Время, мин.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Организационный момент.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темы, цели занятия, выяснение непонятных вопросов.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Текущий письменный контроль на входе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Вводная беседа.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4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  <w:p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Отработка практических умений и навыков. Проведение лабораторных работ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демонстрационное</w:t>
            </w:r>
          </w:p>
        </w:tc>
        <w:tc>
          <w:tcPr>
            <w:tcW w:w="17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8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Заключительная часть занятия: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Обобщение, выводы по теме.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качества формируемых компетенций (их элементов) студентов по теме занятия. Проверка тетрадей.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b w:val="1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Лабораторные работа № 1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8"/>
        </w:rPr>
        <w:t>ПРИГОТОВЛЕНИЕ БУФЕРНЫХ РАСТВОРОВ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 работы: </w:t>
      </w:r>
      <w:r>
        <w:rPr>
          <w:rFonts w:ascii="Times New Roman" w:hAnsi="Times New Roman"/>
          <w:sz w:val="28"/>
        </w:rPr>
        <w:t>Освоить методику приготовления буферных растворов. Установить зависимость рН буферных растворов от различных факторов.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Теоретическая часть.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Буферными называются растворы, достаточно стойко поддерживающие на постоянном уровне концентрацию ионов Н</w:t>
      </w:r>
      <w:r>
        <w:rPr>
          <w:rFonts w:ascii="Times New Roman" w:hAnsi="Times New Roman"/>
          <w:sz w:val="28"/>
          <w:vertAlign w:val="superscript"/>
        </w:rPr>
        <w:t>+</w:t>
      </w:r>
      <w:r>
        <w:rPr>
          <w:rFonts w:ascii="Times New Roman" w:hAnsi="Times New Roman"/>
          <w:sz w:val="28"/>
        </w:rPr>
        <w:t>, а, следовательно, рН при добавлении к ним небольших количеств щелочей и сильных кислот, а также при разбавлении.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Буферные растворы препятствуют изменению концентрации ионов Н</w:t>
      </w:r>
      <w:r>
        <w:rPr>
          <w:rFonts w:ascii="Times New Roman" w:hAnsi="Times New Roman"/>
          <w:sz w:val="28"/>
          <w:vertAlign w:val="superscript"/>
        </w:rPr>
        <w:t>+</w:t>
      </w:r>
      <w:r>
        <w:rPr>
          <w:rFonts w:ascii="Times New Roman" w:hAnsi="Times New Roman"/>
          <w:sz w:val="28"/>
        </w:rPr>
        <w:t xml:space="preserve"> только в определённом интервале значений рН, который называется зоной буферного действия.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Компоненты буферного раствора, противодействующие изменению рН, называются буферной системой.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Ацетатный буферный раствор состоит из уксусной кислоты, ацетата натрия и воды.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Ацетатная буферная система состоит из уксусной кислоты и ацетат-аниона. Нейтрализация щелочей и сильных кислот происходит по уравнениям:</w:t>
      </w:r>
    </w:p>
    <w:p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СООН + OH</w:t>
      </w:r>
      <w:r>
        <w:rPr>
          <w:rFonts w:ascii="Times New Roman" w:hAnsi="Times New Roman"/>
          <w:sz w:val="28"/>
          <w:vertAlign w:val="superscript"/>
        </w:rPr>
        <w:t>–</w:t>
      </w:r>
      <w:r>
        <w:rPr>
          <w:rFonts w:ascii="Times New Roman" w:hAnsi="Times New Roman"/>
          <w:sz w:val="28"/>
        </w:rPr>
        <w:t xml:space="preserve"> = 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СОО</w:t>
      </w:r>
      <w:r>
        <w:rPr>
          <w:rFonts w:ascii="Times New Roman" w:hAnsi="Times New Roman"/>
          <w:sz w:val="28"/>
          <w:vertAlign w:val="superscript"/>
        </w:rPr>
        <w:t>–</w:t>
      </w:r>
      <w:r>
        <w:rPr>
          <w:rFonts w:ascii="Times New Roman" w:hAnsi="Times New Roman"/>
          <w:sz w:val="28"/>
        </w:rPr>
        <w:t xml:space="preserve"> + H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</w:p>
    <w:p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СОО</w:t>
      </w:r>
      <w:r>
        <w:rPr>
          <w:rFonts w:ascii="Times New Roman" w:hAnsi="Times New Roman"/>
          <w:sz w:val="28"/>
          <w:vertAlign w:val="superscript"/>
        </w:rPr>
        <w:t xml:space="preserve">–  </w:t>
      </w:r>
      <w:r>
        <w:rPr>
          <w:rFonts w:ascii="Times New Roman" w:hAnsi="Times New Roman"/>
          <w:sz w:val="28"/>
        </w:rPr>
        <w:t>+ Н</w:t>
      </w:r>
      <w:r>
        <w:rPr>
          <w:rFonts w:ascii="Times New Roman" w:hAnsi="Times New Roman"/>
          <w:sz w:val="28"/>
          <w:vertAlign w:val="superscript"/>
        </w:rPr>
        <w:t xml:space="preserve">+  </w:t>
      </w:r>
      <w:r>
        <w:rPr>
          <w:rFonts w:ascii="Times New Roman" w:hAnsi="Times New Roman"/>
          <w:sz w:val="28"/>
        </w:rPr>
        <w:t>= 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СООH.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рН кислотных буферных растворов рассчитывается по уравнению Гендерсона–Гассельбаха, которое имеет два варианта:</w:t>
      </w:r>
    </w:p>
    <w:p>
      <w:pPr>
        <w:rPr>
          <w:rFonts w:ascii="Times New Roman" w:hAnsi="Times New Roman"/>
          <w:sz w:val="28"/>
        </w:rPr>
      </w:pPr>
    </w:p>
    <w:p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drawing>
          <wp:inline xmlns:wp="http://schemas.openxmlformats.org/drawingml/2006/wordprocessingDrawing">
            <wp:extent cx="1409700" cy="4184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1846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drawing>
          <wp:inline xmlns:wp="http://schemas.openxmlformats.org/drawingml/2006/wordprocessingDrawing">
            <wp:extent cx="1409700" cy="41846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1846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компоненты буферного раствора имеют одинаковые молярные концентрации эквивалентов, то уравнение Гендерсона–Гассельбаха примет следующий вид:</w:t>
      </w:r>
    </w:p>
    <w:p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drawing>
          <wp:inline xmlns:wp="http://schemas.openxmlformats.org/drawingml/2006/wordprocessingDrawing">
            <wp:extent cx="1105535" cy="44386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44386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Уравнение Гендерсона–Гассельбаха используется для приготовления буферных растворов.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Ход работы: </w:t>
      </w:r>
      <w:r>
        <w:rPr>
          <w:rFonts w:ascii="Times New Roman" w:hAnsi="Times New Roman"/>
          <w:sz w:val="28"/>
        </w:rPr>
        <w:t>В семь пробирок одинакового диаметра налейте 0,2 М растворы уксусной кислоты и ацетата натрия в объёмах указанных в таблице 1.</w:t>
      </w:r>
    </w:p>
    <w:tbl>
      <w:tblPr>
        <w:tblW w:w="0" w:type="auto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c>
          <w:tcPr>
            <w:tcW w:w="9356" w:type="dxa"/>
            <w:gridSpan w:val="8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Таблица 1</w:t>
            </w:r>
          </w:p>
        </w:tc>
      </w:tr>
      <w:tr>
        <w:tc>
          <w:tcPr>
            <w:tcW w:w="2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пробирки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7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w="2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СООН, мл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7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  <w:tr>
        <w:tc>
          <w:tcPr>
            <w:tcW w:w="2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СООNа, мл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7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9,5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9,8</w:t>
            </w:r>
          </w:p>
        </w:tc>
      </w:tr>
      <w:tr>
        <w:tc>
          <w:tcPr>
            <w:tcW w:w="2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 индикатора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7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 по индикатору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7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2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Расчётное значение рН</w:t>
            </w: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0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7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Прибавьте во все пробирки по 3 капли индикатора метилового красного. Встряхните каждую пробирку таким образом, чтобы произошло равномерное распределение окраски раствора по всему объёму. Окраску буферных растворов отметьте в таблице. Пользуясь таблицей 2, найдите значение рН для каждого раствора.</w:t>
      </w:r>
    </w:p>
    <w:tbl>
      <w:tblPr>
        <w:tblW w:w="0" w:type="auto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c>
          <w:tcPr>
            <w:tcW w:w="9356" w:type="dxa"/>
            <w:gridSpan w:val="7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Таблица 2. Цвет индикатора метилового красного </w:t>
            </w:r>
            <w:r>
              <w:rPr>
                <w:rFonts w:ascii="Times New Roman" w:hAnsi="Times New Roman"/>
                <w:i w:val="1"/>
                <w:sz w:val="28"/>
              </w:rPr>
              <w:t>в зоне?? перемены окраски</w:t>
            </w:r>
          </w:p>
        </w:tc>
      </w:tr>
      <w:tr>
        <w:tc>
          <w:tcPr>
            <w:tcW w:w="11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</w:t>
            </w:r>
          </w:p>
        </w:tc>
        <w:tc>
          <w:tcPr>
            <w:tcW w:w="135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  <w:tc>
          <w:tcPr>
            <w:tcW w:w="141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41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  <w:tc>
          <w:tcPr>
            <w:tcW w:w="133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w="128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</w:t>
            </w:r>
          </w:p>
        </w:tc>
      </w:tr>
      <w:tr>
        <w:tc>
          <w:tcPr>
            <w:tcW w:w="1125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Красный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Оранжево-красный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Оранжевый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Оранжево-желтый</w:t>
            </w:r>
          </w:p>
        </w:tc>
        <w:tc>
          <w:tcPr>
            <w:tcW w:w="1331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Желтый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Лимонно-желтый</w:t>
            </w:r>
          </w:p>
        </w:tc>
      </w:tr>
    </w:tbl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Рассчитайте</w:t>
      </w:r>
      <w:r>
        <w:rPr>
          <w:rFonts w:ascii="Times New Roman" w:hAnsi="Times New Roman"/>
          <w:sz w:val="28"/>
        </w:rPr>
        <w:t xml:space="preserve"> значения рН в каждой из семи пробирок, используя уравнение Гендерсона–Гассельбаха.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Укажите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зону буферного действия ацетатной буферной системы.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Объясните</w:t>
      </w:r>
      <w:r>
        <w:rPr>
          <w:rFonts w:ascii="Times New Roman" w:hAnsi="Times New Roman"/>
          <w:sz w:val="28"/>
        </w:rPr>
        <w:t>, почему в 5, 6 и 7 пробирках индикатор метиловый красный имеет один и тот же цвет.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Примечания: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(СН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СООН) = 1,85∙10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; lg 1,85 = 0,27; lg 3 = 0,48; lg 5 = 0,70; lg 7 = 0,85; lg 9 = 0,95; lg 19 = 1,28; lg 49 = 1,69.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Вывод: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Укажите факторы, влияющие на рН буферного раствора.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Лабораторная работа № 2 ВЛИЯНИЕ РАЗБАВЛЕНИЯ НА РН БУФЕРНОГО РАСТВОРА.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работы:</w:t>
      </w:r>
      <w:r>
        <w:rPr>
          <w:rFonts w:ascii="Times New Roman" w:hAnsi="Times New Roman"/>
          <w:sz w:val="28"/>
        </w:rPr>
        <w:t xml:space="preserve"> Установить зависимость рН буферного раствора от разбавления его водой.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Ход работы.</w:t>
      </w:r>
      <w:r>
        <w:rPr>
          <w:rFonts w:ascii="Times New Roman" w:hAnsi="Times New Roman"/>
          <w:sz w:val="28"/>
        </w:rPr>
        <w:t xml:space="preserve"> В пробирке приготовьте буферный раствор, состоящий из 5 мл 0,2 М раствора 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СООН и 5 мл 0,2 М раствора 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СООNа. 2 мл этого раствора перенесите в другую пробирку, в которую добавьте 6 мл воды. В третью пробирку налейте 2 мл 0,2 М раствора уксусной кислоты и также добавьте 6 мл воды. Во все три пробирки прилейте по 2 капли индикатора метилового оранжевого. Встряхните каждую пробирку таким образом, чтобы произошло равномерное распределение окраски раствора по всему объёму. Сравните окраску растворов. 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внесите в таблицу.</w:t>
      </w:r>
    </w:p>
    <w:tbl>
      <w:tblPr>
        <w:tblW w:w="4888" w:type="pct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c>
          <w:tcPr>
            <w:tcW w:w="642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пробирки</w:t>
            </w:r>
          </w:p>
        </w:tc>
        <w:tc>
          <w:tcPr>
            <w:tcW w:w="907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Исходные реактивы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исходных реактивов, мл</w:t>
            </w:r>
          </w:p>
        </w:tc>
        <w:tc>
          <w:tcPr>
            <w:tcW w:w="886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добавляемой воды, мл</w:t>
            </w:r>
          </w:p>
        </w:tc>
        <w:tc>
          <w:tcPr>
            <w:tcW w:w="100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</w:t>
            </w:r>
          </w:p>
        </w:tc>
        <w:tc>
          <w:tcPr>
            <w:tcW w:w="85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Окраска раствора</w:t>
            </w:r>
          </w:p>
        </w:tc>
      </w:tr>
      <w:tr>
        <w:tc>
          <w:tcPr>
            <w:tcW w:w="642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07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СООН+ СН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СООNa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86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0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Метиловый красный</w:t>
            </w:r>
          </w:p>
        </w:tc>
        <w:tc>
          <w:tcPr>
            <w:tcW w:w="85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642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7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СООН+ СН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СООNa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86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0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Метиловый красный</w:t>
            </w:r>
          </w:p>
        </w:tc>
        <w:tc>
          <w:tcPr>
            <w:tcW w:w="85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642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07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>СООН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86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0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Метиловый красный</w:t>
            </w:r>
          </w:p>
        </w:tc>
        <w:tc>
          <w:tcPr>
            <w:tcW w:w="851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Химизм: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Вывод: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Объясните</w:t>
      </w:r>
      <w:r>
        <w:rPr>
          <w:rFonts w:ascii="Times New Roman" w:hAnsi="Times New Roman"/>
          <w:sz w:val="28"/>
        </w:rPr>
        <w:t xml:space="preserve"> постоянство рН буферных растворов, используя уравнение Гендерсона-Гассельбаха.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Объясните</w:t>
      </w:r>
      <w:r>
        <w:rPr>
          <w:rFonts w:ascii="Times New Roman" w:hAnsi="Times New Roman"/>
          <w:sz w:val="28"/>
        </w:rPr>
        <w:t xml:space="preserve"> изменение рН раствора уксусной кислоты при разбавлении.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Лабораторная работа № 3 ВЛИЯНИЕ КИСЛОТЫ И ЩЕЛОЧИ НА РН БУФЕРНОГО РАСТВОРА.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работы:</w:t>
      </w:r>
      <w:r>
        <w:rPr>
          <w:rFonts w:ascii="Times New Roman" w:hAnsi="Times New Roman"/>
          <w:sz w:val="28"/>
        </w:rPr>
        <w:t xml:space="preserve"> Изучить влияние кислоты и щелочи на рН буферного раствора.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Теоретическая часть.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добавлении сильной кислоты к кислотному буферному раствору в реакцию вступает солевой компонент. При этом сильная кислота превращается в эквивалентное количество слабой кислоты, являющейся компонентом буферной системы.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добавлении щелочи к кислотному буферному раствору срабатывает кислотный компонент. В результате реакции щёлочь превращается в эквивалентное количество воды, ии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Ход работы:</w:t>
      </w:r>
      <w:r>
        <w:rPr>
          <w:rFonts w:ascii="Times New Roman" w:hAnsi="Times New Roman"/>
          <w:sz w:val="28"/>
        </w:rPr>
        <w:t xml:space="preserve"> В трех пробирках приготовьте по 10 мл ацетатного буферного раствора. Для этого добавьте 5 мл 0,2 М раствора уксусной кислоты к 5 мл 0,2 М раствора ацетата натрия. В первую пробирку прибавьте 5 капель 0,1 М раствора соляной кислоты, во вторую – 5 капель 0,1 М раствора едкого натра, в третью – 5 капель воды. Во все пробирки внесите по 2 капли индикатора метилового красного. Встряхните каждую пробирку таким образом, чтобы произошло равномерное распределение окраски раствора по всему объёму. Сравните окраску растворов. 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впишите в таблицу.</w:t>
      </w:r>
    </w:p>
    <w:tbl>
      <w:tblPr>
        <w:tblW w:w="4883" w:type="pct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c>
          <w:tcPr>
            <w:tcW w:w="689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пробирки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Исследуемый раствор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Добавляемый реактив</w:t>
            </w:r>
          </w:p>
        </w:tc>
        <w:tc>
          <w:tcPr>
            <w:tcW w:w="1170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</w:t>
            </w:r>
          </w:p>
        </w:tc>
        <w:tc>
          <w:tcPr>
            <w:tcW w:w="1004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Окраска раствора</w:t>
            </w:r>
          </w:p>
        </w:tc>
      </w:tr>
      <w:tr>
        <w:tc>
          <w:tcPr>
            <w:tcW w:w="689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Ацетатная БС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HCl</w:t>
            </w:r>
          </w:p>
        </w:tc>
        <w:tc>
          <w:tcPr>
            <w:tcW w:w="1170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Метиловый красный</w:t>
            </w:r>
          </w:p>
        </w:tc>
        <w:tc>
          <w:tcPr>
            <w:tcW w:w="1004" w:type="pct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689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Ацетатная БС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NaOH</w:t>
            </w:r>
          </w:p>
        </w:tc>
        <w:tc>
          <w:tcPr>
            <w:tcW w:w="1170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Метиловый красный</w:t>
            </w:r>
          </w:p>
        </w:tc>
        <w:tc>
          <w:tcPr>
            <w:tcW w:w="1004" w:type="pct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689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Ацетатная БС</w:t>
            </w:r>
          </w:p>
        </w:tc>
        <w:tc>
          <w:tcPr>
            <w:tcW w:w="1068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>O</w:t>
            </w:r>
          </w:p>
        </w:tc>
        <w:tc>
          <w:tcPr>
            <w:tcW w:w="1170" w:type="pct"/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Метиловый красный</w:t>
            </w:r>
          </w:p>
        </w:tc>
        <w:tc>
          <w:tcPr>
            <w:tcW w:w="1004" w:type="pct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Химизм: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Напишите</w:t>
      </w:r>
      <w:r>
        <w:rPr>
          <w:rFonts w:ascii="Times New Roman" w:hAnsi="Times New Roman"/>
          <w:sz w:val="28"/>
        </w:rPr>
        <w:t xml:space="preserve"> уравнения реакций (молекулярная и ионная формы).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Объясните</w:t>
      </w:r>
      <w:r>
        <w:rPr>
          <w:rFonts w:ascii="Times New Roman" w:hAnsi="Times New Roman"/>
          <w:sz w:val="28"/>
        </w:rPr>
        <w:t xml:space="preserve"> механизм действия ацетатной буферной системы.</w:t>
      </w: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Вывод: 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Объясните</w:t>
      </w:r>
      <w:r>
        <w:rPr>
          <w:rFonts w:ascii="Times New Roman" w:hAnsi="Times New Roman"/>
          <w:sz w:val="28"/>
        </w:rPr>
        <w:t xml:space="preserve"> полученные результаты, используя понятие «зона буферного действия».</w:t>
      </w:r>
    </w:p>
    <w:p>
      <w:pPr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Аммиачная буферная система состоит из двух составных частей.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Классифицируйте</w:t>
      </w:r>
      <w:r>
        <w:rPr>
          <w:rFonts w:ascii="Times New Roman" w:hAnsi="Times New Roman"/>
          <w:sz w:val="28"/>
        </w:rPr>
        <w:t xml:space="preserve"> её по составу и природе компонентов.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Укажите</w:t>
      </w:r>
      <w:r>
        <w:rPr>
          <w:rFonts w:ascii="Times New Roman" w:hAnsi="Times New Roman"/>
          <w:sz w:val="28"/>
        </w:rPr>
        <w:t xml:space="preserve"> интервал значений рН, внутри которого эта система обладает буферной емкостью.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Напишите</w:t>
      </w:r>
      <w:r>
        <w:rPr>
          <w:rFonts w:ascii="Times New Roman" w:hAnsi="Times New Roman"/>
          <w:sz w:val="28"/>
        </w:rPr>
        <w:t xml:space="preserve"> уравнения реакций, отражающих механизм её действия (ионная форма).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Объясните</w:t>
      </w:r>
      <w:r>
        <w:rPr>
          <w:rFonts w:ascii="Times New Roman" w:hAnsi="Times New Roman"/>
          <w:sz w:val="28"/>
        </w:rPr>
        <w:t>, почему аммиачная буферная система не входит в состав крови.</w:t>
      </w:r>
    </w:p>
    <w:p>
      <w:pPr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Рассчитайте</w:t>
      </w:r>
      <w:r>
        <w:rPr>
          <w:rFonts w:ascii="Times New Roman" w:hAnsi="Times New Roman"/>
          <w:sz w:val="28"/>
        </w:rPr>
        <w:t xml:space="preserve"> изменение рН фосфатной буферной системы при уменьшении концентрации кислотного компонента в 20 раз (lg 20 = 1,3).</w:t>
      </w:r>
    </w:p>
    <w:p>
      <w:pPr>
        <w:pStyle w:val="P1"/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Вщ ацетатного буферного раствора равна 0,05 моль/л.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Рассчитайте объем (мл) 0,2 М раствора NаОН, который необходимо добавить к 50 мл буферного раствора, чтобы изменить его рН от 4,1 до 5,2.</w:t>
      </w:r>
    </w:p>
    <w:p>
      <w:pPr>
        <w:pStyle w:val="P1"/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Концентрация ионов водорода в крови больного равняется 2,46</w:t>
      </w:r>
      <w:r>
        <w:rPr>
          <w:rFonts w:ascii="Symbol" w:hAnsi="Symbol"/>
        </w:rPr>
        <w:t>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-8</w:t>
      </w:r>
      <w:r>
        <w:rPr>
          <w:rFonts w:ascii="Times New Roman" w:hAnsi="Times New Roman"/>
          <w:sz w:val="28"/>
        </w:rPr>
        <w:t xml:space="preserve"> моль/л.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Рассчитайте</w:t>
      </w:r>
      <w:r>
        <w:rPr>
          <w:rFonts w:ascii="Times New Roman" w:hAnsi="Times New Roman"/>
          <w:sz w:val="28"/>
        </w:rPr>
        <w:t xml:space="preserve"> рН крови (lg 2,46 = 0,39).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Назовите</w:t>
      </w:r>
      <w:r>
        <w:rPr>
          <w:rFonts w:ascii="Times New Roman" w:hAnsi="Times New Roman"/>
          <w:sz w:val="28"/>
        </w:rPr>
        <w:t xml:space="preserve"> состояние, возникающее при данном нарушении КОС.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  <w:u w:val="single"/>
        </w:rPr>
        <w:t>Укажите</w:t>
      </w:r>
      <w:r>
        <w:rPr>
          <w:rFonts w:ascii="Times New Roman" w:hAnsi="Times New Roman"/>
          <w:sz w:val="28"/>
        </w:rPr>
        <w:t>, чем характеризуется это состояние с точки зрения протолитического гомеостаза.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Вопросы и задания для контроля усвоения темы: </w:t>
      </w:r>
      <w:r>
        <w:rPr>
          <w:rFonts w:ascii="Times New Roman" w:hAnsi="Times New Roman"/>
          <w:sz w:val="28"/>
        </w:rPr>
        <w:t>глава 8.1 вопросы и задания № 27- 34 стр. 358 Ершов Ю.А. Биохимия человека учебник для вузов.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  <w:u w:val="single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Основная учебная  литература: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Ершов, Ю. А.  Биохимия человека: учебник для вузов/ Ю. А. Ершов. — 2-е изд., перераб. и доп. — Москва: Издательство Юрайт, 2020. — 466 с. — (Высшее образование). — ISBN 978-5-534-02577-4. — Текст : электронный // Образовательная платформа Юрайт [сайт]. — URL: https://urait.ru/bcode/423741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Конспект лекции.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Дополнительная литература: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978-5-534-02577-4. — Текст : электронный // Образовательная платформа Юрайт [сайт]. — URL: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"https://urait.ru/bcode/444080" \t "_blank"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https://urait.ru/bcode/444080</w:t>
      </w:r>
      <w:r>
        <w:rPr>
          <w:rStyle w:val="C2"/>
          <w:rFonts w:ascii="Times New Roman" w:hAnsi="Times New Roman"/>
          <w:sz w:val="28"/>
        </w:rPr>
        <w:fldChar w:fldCharType="end"/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Берлянд; под ред. Ю. А. Ершова. – 10-е изд., перераб. и доп. – М.: Издательство Юрайт, 2015. – 560 с.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F67BFC"/>
    <w:multiLevelType w:val="hybridMultilevel"/>
    <w:lvl w:ilvl="0" w:tplc="FAF05B6C">
      <w:start w:val="1"/>
      <w:numFmt w:val="upperRoman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b w:val="1"/>
      </w:rPr>
    </w:lvl>
    <w:lvl w:ilvl="1" w:tplc="2ED4F2BE">
      <w:start w:val="1"/>
      <w:numFmt w:val="decimal"/>
      <w:suff w:val="tab"/>
      <w:lvlText w:val="%2."/>
      <w:lvlJc w:val="left"/>
      <w:pPr>
        <w:ind w:hanging="360" w:left="644"/>
        <w:tabs>
          <w:tab w:val="left" w:pos="644" w:leader="none"/>
        </w:tabs>
      </w:pPr>
      <w:rPr>
        <w:b w:val="0"/>
      </w:rPr>
    </w:lvl>
    <w:lvl w:ilvl="2" w:tplc="9410B582">
      <w:start w:val="1"/>
      <w:numFmt w:val="decimal"/>
      <w:suff w:val="tab"/>
      <w:lvlText w:val="%3."/>
      <w:lvlJc w:val="left"/>
      <w:pPr>
        <w:ind w:hanging="720" w:left="1080"/>
        <w:tabs>
          <w:tab w:val="left" w:pos="1080" w:leader="none"/>
        </w:tabs>
      </w:pPr>
      <w:rPr>
        <w:rFonts w:ascii="Times New Roman" w:hAnsi="Times New Roman"/>
        <w:b w:val="0"/>
      </w:rPr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23133A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2D82D6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1997595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344E418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5">
    <w:nsid w:val="405833EB"/>
    <w:multiLevelType w:val="hybridMultilevel"/>
    <w:lvl w:ilvl="0" w:tplc="85188A9E">
      <w:start w:val="1"/>
      <w:numFmt w:val="russianLower"/>
      <w:suff w:val="tab"/>
      <w:lvlText w:val="%1)"/>
      <w:lvlJc w:val="left"/>
      <w:pPr>
        <w:ind w:hanging="360" w:left="1494"/>
        <w:tabs>
          <w:tab w:val="left" w:pos="1494" w:leader="none"/>
        </w:tabs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-846"/>
        <w:tabs>
          <w:tab w:val="left" w:pos="-846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-126"/>
        <w:tabs>
          <w:tab w:val="left" w:pos="-126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594"/>
        <w:tabs>
          <w:tab w:val="left" w:pos="594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1314"/>
        <w:tabs>
          <w:tab w:val="left" w:pos="1314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2034"/>
        <w:tabs>
          <w:tab w:val="left" w:pos="2034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2754"/>
        <w:tabs>
          <w:tab w:val="left" w:pos="2754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3474"/>
        <w:tabs>
          <w:tab w:val="left" w:pos="3474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4194"/>
        <w:tabs>
          <w:tab w:val="left" w:pos="4194" w:leader="none"/>
        </w:tabs>
      </w:pPr>
      <w:rPr/>
    </w:lvl>
  </w:abstractNum>
  <w:abstractNum w:abstractNumId="6">
    <w:nsid w:val="41495ABA"/>
    <w:multiLevelType w:val="hybridMultilevel"/>
    <w:lvl w:ilvl="0" w:tplc="698CB756">
      <w:start w:val="1"/>
      <w:numFmt w:val="decimal"/>
      <w:suff w:val="tab"/>
      <w:lvlText w:val="%1)"/>
      <w:lvlJc w:val="left"/>
      <w:pPr>
        <w:ind w:hanging="360" w:left="3780"/>
        <w:tabs>
          <w:tab w:val="left" w:pos="3780" w:leader="none"/>
        </w:tabs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4140"/>
        <w:tabs>
          <w:tab w:val="left" w:pos="41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4860"/>
        <w:tabs>
          <w:tab w:val="left" w:pos="48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5580"/>
        <w:tabs>
          <w:tab w:val="left" w:pos="55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6300"/>
        <w:tabs>
          <w:tab w:val="left" w:pos="63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7020"/>
        <w:tabs>
          <w:tab w:val="left" w:pos="70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7740"/>
        <w:tabs>
          <w:tab w:val="left" w:pos="77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8460"/>
        <w:tabs>
          <w:tab w:val="left" w:pos="84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9180"/>
        <w:tabs>
          <w:tab w:val="left" w:pos="9180" w:leader="none"/>
        </w:tabs>
      </w:pPr>
      <w:rPr/>
    </w:lvl>
  </w:abstractNum>
  <w:abstractNum w:abstractNumId="7">
    <w:nsid w:val="4693266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8">
    <w:nsid w:val="50157C3E"/>
    <w:multiLevelType w:val="hybridMultilevel"/>
    <w:lvl w:ilvl="0" w:tplc="FAF05B6C">
      <w:start w:val="1"/>
      <w:numFmt w:val="upperRoman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b w:val="1"/>
      </w:rPr>
    </w:lvl>
    <w:lvl w:ilvl="1" w:tplc="0419000F">
      <w:start w:val="1"/>
      <w:numFmt w:val="decimal"/>
      <w:suff w:val="tab"/>
      <w:lvlText w:val="%2."/>
      <w:lvlJc w:val="left"/>
      <w:pPr>
        <w:ind w:hanging="360" w:left="644"/>
        <w:tabs>
          <w:tab w:val="left" w:pos="644" w:leader="none"/>
        </w:tabs>
      </w:pPr>
      <w:rPr/>
    </w:lvl>
    <w:lvl w:ilvl="2" w:tplc="9410B582">
      <w:start w:val="1"/>
      <w:numFmt w:val="decimal"/>
      <w:suff w:val="tab"/>
      <w:lvlText w:val="%3."/>
      <w:lvlJc w:val="left"/>
      <w:pPr>
        <w:ind w:hanging="720" w:left="1080"/>
        <w:tabs>
          <w:tab w:val="left" w:pos="1080" w:leader="none"/>
        </w:tabs>
      </w:pPr>
      <w:rPr>
        <w:rFonts w:ascii="Times New Roman" w:hAnsi="Times New Roman"/>
        <w:b w:val="0"/>
      </w:rPr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5F5E6609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4F3D3771">
      <w:start w:val="1"/>
      <w:numFmt w:val="decimal"/>
      <w:suff w:val="tab"/>
      <w:lvlText w:val="%1."/>
      <w:lvlJc w:val="left"/>
      <w:pPr/>
      <w:rPr/>
    </w:lvl>
    <w:lvl w:ilvl="2" w:tplc="5D1ED79A">
      <w:start w:val="1"/>
      <w:numFmt w:val="decimal"/>
      <w:suff w:val="tab"/>
      <w:lvlText w:val="%1."/>
      <w:lvlJc w:val="left"/>
      <w:pPr/>
      <w:rPr/>
    </w:lvl>
    <w:lvl w:ilvl="3" w:tplc="1F4E4B6D">
      <w:start w:val="1"/>
      <w:numFmt w:val="decimal"/>
      <w:suff w:val="tab"/>
      <w:lvlText w:val="%1."/>
      <w:lvlJc w:val="left"/>
      <w:pPr/>
      <w:rPr/>
    </w:lvl>
    <w:lvl w:ilvl="4" w:tplc="306825FB">
      <w:start w:val="1"/>
      <w:numFmt w:val="decimal"/>
      <w:suff w:val="tab"/>
      <w:lvlText w:val="%1."/>
      <w:lvlJc w:val="left"/>
      <w:pPr/>
      <w:rPr/>
    </w:lvl>
    <w:lvl w:ilvl="5" w:tplc="34306D66">
      <w:start w:val="1"/>
      <w:numFmt w:val="decimal"/>
      <w:suff w:val="tab"/>
      <w:lvlText w:val="%1."/>
      <w:lvlJc w:val="left"/>
      <w:pPr/>
      <w:rPr/>
    </w:lvl>
    <w:lvl w:ilvl="6" w:tplc="5B84DC53">
      <w:start w:val="1"/>
      <w:numFmt w:val="decimal"/>
      <w:suff w:val="tab"/>
      <w:lvlText w:val="%1."/>
      <w:lvlJc w:val="left"/>
      <w:pPr/>
      <w:rPr/>
    </w:lvl>
    <w:lvl w:ilvl="7" w:tplc="076A3B2B">
      <w:start w:val="1"/>
      <w:numFmt w:val="decimal"/>
      <w:suff w:val="tab"/>
      <w:lvlText w:val="%1."/>
      <w:lvlJc w:val="left"/>
      <w:pPr/>
      <w:rPr/>
    </w:lvl>
    <w:lvl w:ilvl="8" w:tplc="0CE90C08">
      <w:start w:val="1"/>
      <w:numFmt w:val="decimal"/>
      <w:suff w:val="tab"/>
      <w:lvlText w:val="%1."/>
      <w:lvlJc w:val="left"/>
      <w:pPr/>
      <w:rPr/>
    </w:lvl>
  </w:abstractNum>
  <w:abstractNum w:abstractNumId="10">
    <w:nsid w:val="618613B0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27203D12">
      <w:start w:val="1"/>
      <w:numFmt w:val="decimal"/>
      <w:suff w:val="tab"/>
      <w:lvlText w:val="%1."/>
      <w:lvlJc w:val="left"/>
      <w:pPr/>
      <w:rPr/>
    </w:lvl>
    <w:lvl w:ilvl="2" w:tplc="51CF7443">
      <w:start w:val="1"/>
      <w:numFmt w:val="decimal"/>
      <w:suff w:val="tab"/>
      <w:lvlText w:val="%1."/>
      <w:lvlJc w:val="left"/>
      <w:pPr/>
      <w:rPr/>
    </w:lvl>
    <w:lvl w:ilvl="3" w:tplc="7010E3A7">
      <w:start w:val="1"/>
      <w:numFmt w:val="decimal"/>
      <w:suff w:val="tab"/>
      <w:lvlText w:val="%1."/>
      <w:lvlJc w:val="left"/>
      <w:pPr/>
      <w:rPr/>
    </w:lvl>
    <w:lvl w:ilvl="4" w:tplc="45EAD41E">
      <w:start w:val="1"/>
      <w:numFmt w:val="decimal"/>
      <w:suff w:val="tab"/>
      <w:lvlText w:val="%1."/>
      <w:lvlJc w:val="left"/>
      <w:pPr/>
      <w:rPr/>
    </w:lvl>
    <w:lvl w:ilvl="5" w:tplc="68124E86">
      <w:start w:val="1"/>
      <w:numFmt w:val="decimal"/>
      <w:suff w:val="tab"/>
      <w:lvlText w:val="%1."/>
      <w:lvlJc w:val="left"/>
      <w:pPr/>
      <w:rPr/>
    </w:lvl>
    <w:lvl w:ilvl="6" w:tplc="277CA666">
      <w:start w:val="1"/>
      <w:numFmt w:val="decimal"/>
      <w:suff w:val="tab"/>
      <w:lvlText w:val="%1."/>
      <w:lvlJc w:val="left"/>
      <w:pPr/>
      <w:rPr/>
    </w:lvl>
    <w:lvl w:ilvl="7" w:tplc="689114BC">
      <w:start w:val="1"/>
      <w:numFmt w:val="decimal"/>
      <w:suff w:val="tab"/>
      <w:lvlText w:val="%1."/>
      <w:lvlJc w:val="left"/>
      <w:pPr/>
      <w:rPr/>
    </w:lvl>
    <w:lvl w:ilvl="8" w:tplc="71E2E0E4">
      <w:start w:val="1"/>
      <w:numFmt w:val="decimal"/>
      <w:suff w:val="tab"/>
      <w:lvlText w:val="%1."/>
      <w:lvlJc w:val="left"/>
      <w:pPr/>
      <w:rPr/>
    </w:lvl>
  </w:abstractNum>
  <w:abstractNum w:abstractNumId="11">
    <w:nsid w:val="6B44572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wmf" /><Relationship Id="Relimage1" Type="http://schemas.openxmlformats.org/officeDocument/2006/relationships/image" Target="/media/image1.wmf" /><Relationship Id="Relimage2" Type="http://schemas.openxmlformats.org/officeDocument/2006/relationships/image" Target="/media/image2.w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