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C15AAC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C15AAC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5AAC" w:rsidRDefault="00C15AAC" w:rsidP="00C15AAC">
      <w:pPr>
        <w:ind w:firstLine="709"/>
        <w:jc w:val="center"/>
        <w:rPr>
          <w:b/>
          <w:sz w:val="28"/>
        </w:rPr>
      </w:pPr>
      <w:r w:rsidRPr="00C15AAC">
        <w:rPr>
          <w:b/>
          <w:sz w:val="28"/>
        </w:rPr>
        <w:t>АНЕСТЕЗИОЛОГИЯ-РЕАНИМАТОЛОГИЯ</w:t>
      </w:r>
    </w:p>
    <w:p w:rsidR="00C15AAC" w:rsidRPr="004B2C94" w:rsidRDefault="00C15AAC" w:rsidP="00C15AAC">
      <w:pPr>
        <w:ind w:firstLine="709"/>
        <w:jc w:val="center"/>
        <w:rPr>
          <w:sz w:val="28"/>
        </w:rPr>
      </w:pPr>
    </w:p>
    <w:p w:rsidR="004B2C94" w:rsidRPr="004B2C94" w:rsidRDefault="00C15AAC" w:rsidP="00F5136B">
      <w:pPr>
        <w:ind w:firstLine="709"/>
        <w:jc w:val="center"/>
        <w:rPr>
          <w:sz w:val="28"/>
        </w:rPr>
      </w:pPr>
      <w:proofErr w:type="gramStart"/>
      <w:r w:rsidRPr="00C15AAC">
        <w:rPr>
          <w:sz w:val="28"/>
        </w:rPr>
        <w:t>по</w:t>
      </w:r>
      <w:proofErr w:type="gramEnd"/>
      <w:r w:rsidR="004B2C94" w:rsidRPr="00C15AAC">
        <w:rPr>
          <w:sz w:val="28"/>
        </w:rPr>
        <w:t xml:space="preserve"> специальности</w:t>
      </w:r>
      <w:r w:rsidR="004B2C94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5AAC" w:rsidRDefault="00C15AAC" w:rsidP="00F5136B">
      <w:pPr>
        <w:ind w:firstLine="709"/>
        <w:jc w:val="center"/>
        <w:rPr>
          <w:i/>
          <w:sz w:val="28"/>
          <w:szCs w:val="28"/>
        </w:rPr>
      </w:pPr>
      <w:r w:rsidRPr="00C15AAC">
        <w:rPr>
          <w:i/>
          <w:color w:val="000000"/>
          <w:sz w:val="28"/>
          <w:szCs w:val="28"/>
          <w:shd w:val="clear" w:color="auto" w:fill="FFFFFF"/>
        </w:rPr>
        <w:t>31.08.02 Анестезиология-реаниматология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Pr="004B2C94" w:rsidRDefault="00C15AAC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5AAC" w:rsidRDefault="00C15AAC" w:rsidP="00F5136B">
      <w:pPr>
        <w:ind w:firstLine="709"/>
        <w:jc w:val="center"/>
        <w:rPr>
          <w:sz w:val="28"/>
        </w:rPr>
      </w:pPr>
    </w:p>
    <w:p w:rsidR="00C15AAC" w:rsidRPr="004B2C94" w:rsidRDefault="00C15AAC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15AAC" w:rsidRPr="004B2C94" w:rsidRDefault="00C15AAC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15AAC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15AAC">
        <w:rPr>
          <w:color w:val="000000"/>
          <w:sz w:val="24"/>
          <w:szCs w:val="24"/>
        </w:rPr>
        <w:t xml:space="preserve">по </w:t>
      </w:r>
      <w:r w:rsidR="00C15AAC" w:rsidRPr="00C15AAC">
        <w:rPr>
          <w:color w:val="000000"/>
          <w:sz w:val="24"/>
          <w:szCs w:val="24"/>
        </w:rPr>
        <w:t>специальности</w:t>
      </w:r>
      <w:r w:rsidR="00C15AAC">
        <w:rPr>
          <w:color w:val="000000"/>
          <w:sz w:val="24"/>
          <w:szCs w:val="24"/>
        </w:rPr>
        <w:t xml:space="preserve"> </w:t>
      </w:r>
      <w:r w:rsidR="00C15AAC" w:rsidRPr="00C15AAC">
        <w:rPr>
          <w:color w:val="000000"/>
          <w:sz w:val="24"/>
          <w:szCs w:val="24"/>
          <w:shd w:val="clear" w:color="auto" w:fill="FFFFFF"/>
        </w:rPr>
        <w:t>31.08.02 Анестезиология-реаниматология</w:t>
      </w:r>
      <w:r w:rsidRPr="00BD661B">
        <w:rPr>
          <w:color w:val="000000"/>
          <w:sz w:val="24"/>
          <w:szCs w:val="24"/>
        </w:rPr>
        <w:t>,</w:t>
      </w:r>
      <w:r w:rsidR="00C15AAC">
        <w:rPr>
          <w:color w:val="000000"/>
          <w:sz w:val="24"/>
          <w:szCs w:val="24"/>
        </w:rPr>
        <w:t xml:space="preserve"> </w:t>
      </w: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510EB" w:rsidRPr="00CF7355" w:rsidRDefault="00F510EB" w:rsidP="00F510EB">
      <w:pPr>
        <w:ind w:firstLine="709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15AAC" w:rsidRPr="004B2C94" w:rsidRDefault="00FD5B6B" w:rsidP="00C15AAC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C15AAC" w:rsidRDefault="00FD5B6B" w:rsidP="00C15AA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Целью самостоятельной работы является </w:t>
      </w:r>
      <w:r w:rsidR="00C15AAC" w:rsidRPr="00C15AAC">
        <w:rPr>
          <w:rStyle w:val="fontstyle01"/>
          <w:sz w:val="28"/>
          <w:szCs w:val="28"/>
        </w:rPr>
        <w:t>подготовка квалифицированных врачей анестезиологов-реаниматологов для работы в области практического здравоохранения, приобретения знаний и умений, повышающих их</w:t>
      </w:r>
      <w:r w:rsidR="00C15AAC">
        <w:rPr>
          <w:rStyle w:val="fontstyle01"/>
          <w:sz w:val="28"/>
          <w:szCs w:val="28"/>
        </w:rPr>
        <w:t xml:space="preserve"> </w:t>
      </w:r>
      <w:r w:rsidR="00C15AAC" w:rsidRPr="00C15AAC">
        <w:rPr>
          <w:rStyle w:val="fontstyle01"/>
          <w:sz w:val="28"/>
          <w:szCs w:val="28"/>
        </w:rPr>
        <w:t>профессиональный уровень и степень готовности к самостоятельной врачебной деятельности</w:t>
      </w:r>
      <w:r w:rsidR="00C15AAC">
        <w:rPr>
          <w:rStyle w:val="fontstyle01"/>
          <w:sz w:val="28"/>
          <w:szCs w:val="28"/>
        </w:rPr>
        <w:t>.</w:t>
      </w:r>
    </w:p>
    <w:p w:rsidR="004B2C94" w:rsidRPr="00C15AAC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Тема самостоятельной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работы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E5C48">
              <w:rPr>
                <w:sz w:val="24"/>
                <w:szCs w:val="24"/>
              </w:rPr>
              <w:t>самостоятельной</w:t>
            </w:r>
            <w:proofErr w:type="gramEnd"/>
            <w:r w:rsidRPr="006E5C48">
              <w:rPr>
                <w:sz w:val="24"/>
                <w:szCs w:val="24"/>
              </w:rPr>
              <w:t xml:space="preserve"> работы</w:t>
            </w:r>
            <w:r w:rsidRPr="006E5C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 </w:t>
            </w:r>
            <w:r w:rsidRPr="006E5C48">
              <w:rPr>
                <w:i/>
                <w:sz w:val="24"/>
                <w:szCs w:val="24"/>
              </w:rPr>
              <w:t>(</w:t>
            </w:r>
            <w:proofErr w:type="gramStart"/>
            <w:r w:rsidRPr="006E5C48">
              <w:rPr>
                <w:i/>
                <w:sz w:val="24"/>
                <w:szCs w:val="24"/>
              </w:rPr>
              <w:t>в</w:t>
            </w:r>
            <w:proofErr w:type="gramEnd"/>
            <w:r w:rsidRPr="006E5C48">
              <w:rPr>
                <w:i/>
                <w:sz w:val="24"/>
                <w:szCs w:val="24"/>
              </w:rPr>
              <w:t xml:space="preserve"> соответствии с разделом 4 РП)</w:t>
            </w:r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контактной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работы</w:t>
            </w:r>
            <w:proofErr w:type="gramEnd"/>
            <w:r w:rsidRPr="006E5C48">
              <w:rPr>
                <w:sz w:val="24"/>
                <w:szCs w:val="24"/>
              </w:rPr>
              <w:t xml:space="preserve"> при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проведении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текущего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E5C48">
              <w:rPr>
                <w:sz w:val="24"/>
                <w:szCs w:val="24"/>
              </w:rPr>
              <w:t>контроля</w:t>
            </w:r>
            <w:proofErr w:type="gramEnd"/>
            <w:r w:rsidRPr="006E5C48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5</w:t>
            </w:r>
          </w:p>
        </w:tc>
      </w:tr>
      <w:tr w:rsidR="006E5C48" w:rsidRPr="00033367" w:rsidTr="00487989">
        <w:tc>
          <w:tcPr>
            <w:tcW w:w="10195" w:type="dxa"/>
            <w:gridSpan w:val="5"/>
            <w:shd w:val="clear" w:color="auto" w:fill="auto"/>
          </w:tcPr>
          <w:p w:rsidR="006E5C48" w:rsidRPr="006E5C48" w:rsidRDefault="006E5C48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6E5C48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6E5C48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 (см. рабочую программу дисциплины, раздел 8)</w:t>
            </w:r>
          </w:p>
        </w:tc>
        <w:tc>
          <w:tcPr>
            <w:tcW w:w="1959" w:type="dxa"/>
            <w:shd w:val="clear" w:color="auto" w:fill="auto"/>
          </w:tcPr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;</w:t>
            </w:r>
          </w:p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A40EF">
              <w:rPr>
                <w:sz w:val="24"/>
                <w:szCs w:val="24"/>
              </w:rPr>
              <w:t xml:space="preserve">ешение проблемно-ситуационных задач; </w:t>
            </w:r>
          </w:p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40EF">
              <w:rPr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0979BD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клинических базах</w:t>
            </w:r>
          </w:p>
        </w:tc>
        <w:tc>
          <w:tcPr>
            <w:tcW w:w="1959" w:type="dxa"/>
            <w:shd w:val="clear" w:color="auto" w:fill="auto"/>
          </w:tcPr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;</w:t>
            </w:r>
          </w:p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40EF">
              <w:rPr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Реферат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A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Информационной системе </w:t>
            </w:r>
            <w:proofErr w:type="spellStart"/>
            <w:r>
              <w:rPr>
                <w:sz w:val="24"/>
                <w:szCs w:val="24"/>
              </w:rPr>
              <w:t>ОрГМУ</w:t>
            </w:r>
            <w:proofErr w:type="spellEnd"/>
          </w:p>
        </w:tc>
      </w:tr>
      <w:tr w:rsidR="006E5C48" w:rsidRPr="00033367" w:rsidTr="00487989">
        <w:tc>
          <w:tcPr>
            <w:tcW w:w="10195" w:type="dxa"/>
            <w:gridSpan w:val="5"/>
            <w:shd w:val="clear" w:color="auto" w:fill="auto"/>
          </w:tcPr>
          <w:p w:rsidR="006E5C48" w:rsidRPr="00515463" w:rsidRDefault="006E5C48" w:rsidP="004A40EF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6E5C48" w:rsidRPr="004A40EF" w:rsidRDefault="006E5C48" w:rsidP="004A40EF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515463">
              <w:rPr>
                <w:i/>
                <w:sz w:val="24"/>
                <w:szCs w:val="24"/>
              </w:rPr>
              <w:t>модуля</w:t>
            </w:r>
            <w:proofErr w:type="gramEnd"/>
            <w:r w:rsidRPr="00515463">
              <w:rPr>
                <w:i/>
                <w:sz w:val="24"/>
                <w:szCs w:val="24"/>
              </w:rPr>
              <w:t xml:space="preserve"> «</w:t>
            </w:r>
            <w:r w:rsidRPr="00515463">
              <w:rPr>
                <w:i/>
                <w:color w:val="000000"/>
                <w:sz w:val="24"/>
                <w:szCs w:val="24"/>
                <w:shd w:val="clear" w:color="auto" w:fill="FFFFFF"/>
              </w:rPr>
              <w:t>Общая анестезиология</w:t>
            </w:r>
            <w:r w:rsidRPr="00515463">
              <w:rPr>
                <w:i/>
                <w:sz w:val="24"/>
                <w:szCs w:val="24"/>
              </w:rPr>
              <w:t>»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E40AAD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Учение о боли, понятие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ноцицепция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антиноцицепция</w:t>
            </w:r>
            <w:proofErr w:type="spellEnd"/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6E5C48" w:rsidRPr="004A40EF" w:rsidRDefault="006D520E" w:rsidP="00CB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E5C48" w:rsidRPr="00CB4176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CB4176" w:rsidRPr="00CB4176">
              <w:rPr>
                <w:sz w:val="24"/>
                <w:szCs w:val="24"/>
              </w:rPr>
              <w:t>;</w:t>
            </w:r>
          </w:p>
          <w:p w:rsidR="00CB4176" w:rsidRPr="00CB4176" w:rsidRDefault="00CB4176" w:rsidP="00487989">
            <w:pPr>
              <w:ind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rPr>
          <w:trHeight w:val="629"/>
        </w:trPr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Понятие анестезии, аналгезии,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AFAFF"/>
              </w:rPr>
              <w:t>седации</w:t>
            </w:r>
            <w:proofErr w:type="spellEnd"/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Общая анестезия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6E5C48" w:rsidRDefault="00487989" w:rsidP="00487989">
            <w:pPr>
              <w:jc w:val="both"/>
              <w:rPr>
                <w:color w:val="000000"/>
                <w:sz w:val="22"/>
                <w:szCs w:val="22"/>
                <w:shd w:val="clear" w:color="auto" w:fill="FAFAFF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Ингаляционная общая анестезия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Неингаляционная общая (тотальная внутривенная) анестезия.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Аппаратура для наркоза и контроля за витальными функциями организма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Подготовка больного к анестезии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515463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515463">
              <w:rPr>
                <w:i/>
                <w:sz w:val="24"/>
                <w:szCs w:val="24"/>
              </w:rPr>
              <w:t>модуля</w:t>
            </w:r>
            <w:proofErr w:type="gramEnd"/>
            <w:r w:rsidRPr="00515463">
              <w:rPr>
                <w:i/>
                <w:sz w:val="24"/>
                <w:szCs w:val="24"/>
              </w:rPr>
              <w:t xml:space="preserve"> «</w:t>
            </w:r>
            <w:r w:rsidRPr="00B84E87">
              <w:rPr>
                <w:i/>
                <w:sz w:val="24"/>
                <w:szCs w:val="24"/>
              </w:rPr>
              <w:t>Общая реаниматология»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Pr="004B2594">
              <w:rPr>
                <w:color w:val="000000"/>
                <w:sz w:val="22"/>
                <w:szCs w:val="22"/>
              </w:rPr>
              <w:t>Реанимация и интенсивная терапия при терминальных состояниях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Pr="004B2594">
              <w:rPr>
                <w:color w:val="000000"/>
                <w:sz w:val="22"/>
                <w:szCs w:val="22"/>
              </w:rPr>
              <w:t>Диагностика терминальных состояний. Сердечно-легочно-мозговая реанимация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Клинические признаки, свидетельствующие о наступлении «мозгово</w:t>
            </w:r>
            <w:r w:rsidR="00D87864">
              <w:rPr>
                <w:color w:val="000000"/>
                <w:sz w:val="22"/>
                <w:szCs w:val="22"/>
              </w:rPr>
              <w:t>й смерти», биологической смерти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Болезнь оживленного организма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D87864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ДВС-синдром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Интенсивная терапия в ближ</w:t>
            </w:r>
            <w:r w:rsidR="00D87864">
              <w:rPr>
                <w:color w:val="000000"/>
                <w:sz w:val="22"/>
                <w:szCs w:val="22"/>
              </w:rPr>
              <w:t>айшем послеоперационном периоде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515463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515463">
              <w:rPr>
                <w:i/>
                <w:sz w:val="24"/>
                <w:szCs w:val="24"/>
              </w:rPr>
              <w:t>модуля</w:t>
            </w:r>
            <w:proofErr w:type="gramEnd"/>
            <w:r w:rsidRPr="00515463">
              <w:rPr>
                <w:i/>
                <w:sz w:val="24"/>
                <w:szCs w:val="24"/>
              </w:rPr>
              <w:t xml:space="preserve"> </w:t>
            </w:r>
            <w:r w:rsidRPr="00B84E87">
              <w:rPr>
                <w:i/>
                <w:sz w:val="24"/>
                <w:szCs w:val="24"/>
              </w:rPr>
              <w:t>«Экстренная анестезиология и реаниматология»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D87864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Понятие экстренности хирургической патологии, виды и особенности предоперационной подготовки пациентов с экстренной хирургической патологией различной степени тяжести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Особенности обезболивания и интенсивной терапии при массивных кровопотерях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Особенности обезболивания и интенсивной терапии при острой почечной и острой печеночной недостаточности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Особенности обезболивания и интенсивной терапии при массивных кровопотерях. Особенности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инфузионно-трансфузионной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терапии геморрагического шока у больных с повреждением печени и селезенки. Варианты выбора метода обезболивания при острой массивной кровопотери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Особенности обезболивания и интенсивной терапии при острой кишечной непроходимости разного уровня. Особенности предоперационной подготовки больных с высокой тонкокишечной непроходимостью. Особенности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инфузионно-трансфузионной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терапии в пред –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интраоперационном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периоде. Варианты выбора метода обезболивания при острой кишечной непроходимости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Ранения грудной клетки. Пневмоторакс. Виды пневмоторакса. Особенности предоперационной подготовки больных с повреждением грудной клетки. Особенности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инфузионно-трансфузионной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терапии в пред –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интраоперационном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периоде. Варианты выбора метода обезболивания при операциях на грудной клетке и легких. Особенности интенсивной терапии раннего послеоперационного периода при пневмотораксе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Проблема полного желудка в экстренной анестезиологии. Тактика анестезиолога при невозможности провести эвакуацию содержимого желудка. Понятие быстрой последовательной индукции. Способы профилактики аспирации желудочным содержимым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Особенности обезболивания и интенсивной терапии при сепсисе и септическом шоке. Особенности интенсивной терапии 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инфузионно-трансфузионной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терапии септического шока. Варианты выбора метода обезболивания при септических состояниях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515463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B84E87" w:rsidRDefault="00487989" w:rsidP="00487989">
            <w:pPr>
              <w:ind w:firstLine="709"/>
              <w:jc w:val="center"/>
              <w:rPr>
                <w:i/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«Анестезиология и реаниматология в акушерстве и гинекологии»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Обезболивание физиологических и патологических родов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Осложнения беременности, понятие раннего и позднего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гестоза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Преэклампсия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, эклампсия, отек головного мозга, судорожный синдром этиология, патогенез, интенсивная терапия. Особенности анестезиологического пособия при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родоразрешении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в связи с эклампсией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Обезболивание физиологических и патологических родов. Виды анестезии и аналгезии. Особенности анестезиологического пособия у беременных с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экстрагенитальной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патологией. Проблема полного желудка в акушерстве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Обезболивание при операции Кесарево сечение. Плановое и экстренное Кесарево сечение. Особенности предоперационной подготовки, выбор метода обезболивания, ранний послеродовый и послеоперационный период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Обезболивание в гинекологии. Особенности анестезиологического пособия при малых и больших гинекологических операциях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515463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B84E87" w:rsidRDefault="00487989" w:rsidP="00487989">
            <w:pPr>
              <w:ind w:firstLine="709"/>
              <w:jc w:val="center"/>
              <w:rPr>
                <w:i/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«Анестезиология – реаниматология в педиатрии и неонатологии»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Основные анатомо-физиологические особенности новорожденных и детей различных возрастов с позиции анестезиолога-реаниматолога. Особенности интенсивной терапии 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инфузионно-трансфузионной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терапии, расчет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Первичная оценка новорожденного по шкале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Апгар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>. Реанимация новорожденного. Показания. Принципы проведения. Протокол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Первичная и вторичная асфиксия. Интенсивная терапия и реанимация в родильном зале. Аспирация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мекониальных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околоплодных вод. Аспирационная пневмония. Интенсивная терапия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Родовая травма. Механизм. Диагностика. Интенсивная терапия и реанимация новорожденных при родовой травме с внутричерепными кровоизлияниями и с повреждением позвоночника. Тактика анестезиолога-реаниматолога в родильном зале. Интенсивная терапия в отделениях интенсивной терапии и реанимации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B84E87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84E87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«Анестезиология-реаниматология в травматологи и нейрохирургии»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Особенности анестезии и интенсивной терапии в травматологии и ортопедии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Особенности течения патологических процессов у больных с обширными травмами. Предоперационная подготовка травматологических больных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Травматический шок. Этиология. Патогенез. Интенсивная терапия. Особенности анестезиологического обеспечения в экстренной травматологии.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Инфузионно-трансфузионная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терапия травматического шока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Ожоги. Классификация. Этиология, патогенез Ожоговой болезни. Интенсивная терапия. Особенности анестезиологической помощи при лечении ожогов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Ожоговый шок. Этиология. Патогенез. Интенсивная терапия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B84E87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84E87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«Анестезиология-реаниматология в </w:t>
            </w:r>
            <w:proofErr w:type="spellStart"/>
            <w:r w:rsidRPr="00B84E87">
              <w:rPr>
                <w:i/>
                <w:sz w:val="24"/>
                <w:szCs w:val="24"/>
              </w:rPr>
              <w:t>рентгенхирургии</w:t>
            </w:r>
            <w:proofErr w:type="spellEnd"/>
            <w:r w:rsidRPr="00B84E87">
              <w:rPr>
                <w:i/>
                <w:sz w:val="24"/>
                <w:szCs w:val="24"/>
              </w:rPr>
              <w:t>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Подготовка пациентов к проведению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рентгенхирургическому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вмешательству. Особенности анестезиологической помощи пациентам данной категории, глубина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седации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, обеспечение адекватного мониторинга за состоянием пациента во время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рентгенхирургического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вмешательства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B84E87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84E87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«Интенсивная терапия в кардиологии»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Инфаркт миокарда. Неотложная помощь и реанимационные мероприятия на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догоспитальном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этапе. Принципы госпитализации, способы транспортировки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Острые нарушения ритма сердца. Электрические методы лечения аритмий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Острые нарушения проводимости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Тромбоэмболия легочной артерии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B84E87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84E87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«Интенсивная терапия в токсикологии»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Общие вопросы клинической токсикологии: виды и фазы токсического действия, пути поступления ядов в организм, общие принципы интенсивной терапии отравлений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D87864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Основные клинические синдромы при острых отравлениях</w:t>
            </w:r>
            <w:r w:rsidR="00D87864">
              <w:rPr>
                <w:color w:val="000000"/>
                <w:sz w:val="22"/>
                <w:szCs w:val="22"/>
              </w:rPr>
              <w:t>.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 </w:t>
            </w:r>
            <w:r w:rsidR="00D87864">
              <w:rPr>
                <w:color w:val="000000"/>
                <w:sz w:val="22"/>
                <w:szCs w:val="22"/>
              </w:rPr>
              <w:t>Н</w:t>
            </w:r>
            <w:r w:rsidR="00D87864" w:rsidRPr="004B2594">
              <w:rPr>
                <w:color w:val="000000"/>
                <w:sz w:val="22"/>
                <w:szCs w:val="22"/>
              </w:rPr>
              <w:t>еврологический синдром, синдром ОДН, синдром недостаточности кровообращения, синдром острой почечной и печеночной недостаточности, синдром расстройств кислотно-основного и водно-электролитного баланса, диспепсический синдром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0195" w:type="dxa"/>
            <w:gridSpan w:val="5"/>
            <w:shd w:val="clear" w:color="auto" w:fill="auto"/>
          </w:tcPr>
          <w:p w:rsidR="00487989" w:rsidRPr="00B84E87" w:rsidRDefault="00487989" w:rsidP="00487989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B84E87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487989" w:rsidRPr="004A40EF" w:rsidRDefault="00487989" w:rsidP="00487989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B84E87">
              <w:rPr>
                <w:i/>
                <w:sz w:val="24"/>
                <w:szCs w:val="24"/>
              </w:rPr>
              <w:t>модуля</w:t>
            </w:r>
            <w:proofErr w:type="gramEnd"/>
            <w:r w:rsidRPr="00B84E87">
              <w:rPr>
                <w:i/>
                <w:sz w:val="24"/>
                <w:szCs w:val="24"/>
              </w:rPr>
              <w:t xml:space="preserve"> «Интенсивная терапия в психиатрии и наркологии»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>Продуктивные нарушения сознания у кардиологических больных. Особенности интенсивной терапии продуктивных нарушений сознания у больных с острой коронарной патологией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7864" w:rsidRPr="004B2594">
              <w:rPr>
                <w:color w:val="000000"/>
                <w:sz w:val="22"/>
                <w:szCs w:val="22"/>
              </w:rPr>
              <w:t xml:space="preserve">Особенности течения хирургической патологии у наркотически- и </w:t>
            </w:r>
            <w:proofErr w:type="spellStart"/>
            <w:r w:rsidR="00D87864" w:rsidRPr="004B2594">
              <w:rPr>
                <w:color w:val="000000"/>
                <w:sz w:val="22"/>
                <w:szCs w:val="22"/>
              </w:rPr>
              <w:t>алкогользависимых</w:t>
            </w:r>
            <w:proofErr w:type="spellEnd"/>
            <w:r w:rsidR="00D87864" w:rsidRPr="004B2594">
              <w:rPr>
                <w:color w:val="000000"/>
                <w:sz w:val="22"/>
                <w:szCs w:val="22"/>
              </w:rPr>
              <w:t xml:space="preserve"> пациентов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</w:tbl>
    <w:p w:rsidR="00582BA5" w:rsidRDefault="00582BA5" w:rsidP="000A4687">
      <w:pPr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1C01FC" w:rsidRDefault="001C01FC" w:rsidP="00593334">
      <w:pPr>
        <w:ind w:firstLine="709"/>
        <w:jc w:val="both"/>
        <w:rPr>
          <w:sz w:val="28"/>
        </w:rPr>
      </w:pPr>
    </w:p>
    <w:p w:rsidR="001C01FC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1C01FC" w:rsidRPr="00460AEA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 w:rsidRPr="00460AEA">
        <w:rPr>
          <w:b/>
          <w:sz w:val="28"/>
          <w:szCs w:val="28"/>
        </w:rPr>
        <w:t xml:space="preserve"> практическим занятиям </w:t>
      </w:r>
    </w:p>
    <w:p w:rsidR="001C01FC" w:rsidRPr="00C35B2E" w:rsidRDefault="001C01FC" w:rsidP="001C01FC">
      <w:pPr>
        <w:ind w:firstLine="709"/>
        <w:jc w:val="both"/>
        <w:rPr>
          <w:sz w:val="8"/>
          <w:szCs w:val="28"/>
        </w:rPr>
      </w:pPr>
    </w:p>
    <w:p w:rsidR="001C01FC" w:rsidRPr="00821EB4" w:rsidRDefault="001C01FC" w:rsidP="001C01FC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необходимости).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1C01FC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1C01FC" w:rsidRPr="00981A6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proofErr w:type="gramStart"/>
      <w:r w:rsidRPr="009F413C">
        <w:rPr>
          <w:i/>
          <w:color w:val="000000"/>
          <w:sz w:val="28"/>
        </w:rPr>
        <w:t>к</w:t>
      </w:r>
      <w:proofErr w:type="gramEnd"/>
      <w:r w:rsidRPr="009F413C">
        <w:rPr>
          <w:i/>
          <w:color w:val="000000"/>
          <w:sz w:val="28"/>
        </w:rPr>
        <w:t xml:space="preserve"> теоретическим вопросам практического занятия</w:t>
      </w:r>
    </w:p>
    <w:p w:rsidR="001C01FC" w:rsidRPr="009F413C" w:rsidRDefault="001C01FC" w:rsidP="001C01FC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C01FC" w:rsidRPr="009F413C" w:rsidRDefault="001C01FC" w:rsidP="001C01FC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C01FC" w:rsidRDefault="001C01FC" w:rsidP="000A4687">
      <w:pPr>
        <w:jc w:val="both"/>
        <w:rPr>
          <w:sz w:val="28"/>
        </w:rPr>
      </w:pPr>
    </w:p>
    <w:p w:rsidR="001C01FC" w:rsidRPr="00755609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1C01FC" w:rsidRPr="00755609" w:rsidRDefault="001C01FC" w:rsidP="001C01FC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1C01FC" w:rsidRDefault="001C01FC" w:rsidP="001C01FC">
      <w:pPr>
        <w:ind w:firstLine="709"/>
        <w:jc w:val="both"/>
        <w:rPr>
          <w:sz w:val="28"/>
        </w:rPr>
      </w:pPr>
    </w:p>
    <w:p w:rsidR="001C01FC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1C01FC" w:rsidRPr="00AD3EBB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поиска</w:t>
      </w:r>
      <w:proofErr w:type="gramEnd"/>
      <w:r>
        <w:rPr>
          <w:b/>
          <w:sz w:val="28"/>
        </w:rPr>
        <w:t xml:space="preserve"> неструктурированной информации)</w:t>
      </w:r>
      <w:r w:rsidRPr="00AD3EBB">
        <w:rPr>
          <w:b/>
          <w:sz w:val="28"/>
        </w:rPr>
        <w:t xml:space="preserve">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C01FC" w:rsidRPr="00AD3EBB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2) выбор типа и источников данных;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1C01FC" w:rsidRDefault="001C01FC" w:rsidP="000A4687">
      <w:pPr>
        <w:jc w:val="both"/>
        <w:rPr>
          <w:sz w:val="28"/>
        </w:rPr>
      </w:pPr>
    </w:p>
    <w:p w:rsidR="001C01FC" w:rsidRPr="00BD5AFD" w:rsidRDefault="001C01FC" w:rsidP="001C01F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C01FC" w:rsidRPr="00BD5AFD" w:rsidRDefault="001C01FC" w:rsidP="001C01F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C01FC" w:rsidRDefault="001C01FC" w:rsidP="001C01FC">
      <w:pPr>
        <w:ind w:firstLine="709"/>
        <w:jc w:val="both"/>
        <w:rPr>
          <w:sz w:val="28"/>
        </w:rPr>
      </w:pPr>
    </w:p>
    <w:p w:rsidR="001C01FC" w:rsidRPr="00BD5AFD" w:rsidRDefault="001C01FC" w:rsidP="001C01F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1C01FC" w:rsidRPr="00BD5AFD" w:rsidRDefault="001C01FC" w:rsidP="001C01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1C01FC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1C01FC" w:rsidRPr="00C35B2E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C01FC" w:rsidRDefault="001C01FC" w:rsidP="000A4687">
      <w:pPr>
        <w:jc w:val="both"/>
        <w:outlineLvl w:val="0"/>
        <w:rPr>
          <w:sz w:val="28"/>
          <w:szCs w:val="28"/>
        </w:rPr>
      </w:pPr>
    </w:p>
    <w:p w:rsidR="001C01FC" w:rsidRPr="009C4A0D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C01FC" w:rsidRPr="009C4A0D" w:rsidRDefault="001C01FC" w:rsidP="001C01FC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C01FC" w:rsidRPr="009C4A0D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1C01FC" w:rsidRPr="00755609" w:rsidRDefault="001C01FC" w:rsidP="001C01FC">
      <w:pPr>
        <w:ind w:firstLine="709"/>
        <w:jc w:val="both"/>
        <w:outlineLvl w:val="0"/>
        <w:rPr>
          <w:sz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BF" w:rsidRDefault="009C73BF" w:rsidP="00FD5B6B">
      <w:r>
        <w:separator/>
      </w:r>
    </w:p>
  </w:endnote>
  <w:endnote w:type="continuationSeparator" w:id="0">
    <w:p w:rsidR="009C73BF" w:rsidRDefault="009C73B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3D" w:rsidRDefault="003F563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510EB">
      <w:rPr>
        <w:noProof/>
      </w:rPr>
      <w:t>14</w:t>
    </w:r>
    <w:r>
      <w:fldChar w:fldCharType="end"/>
    </w:r>
  </w:p>
  <w:p w:rsidR="003F563D" w:rsidRDefault="003F56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BF" w:rsidRDefault="009C73BF" w:rsidP="00FD5B6B">
      <w:r>
        <w:separator/>
      </w:r>
    </w:p>
  </w:footnote>
  <w:footnote w:type="continuationSeparator" w:id="0">
    <w:p w:rsidR="009C73BF" w:rsidRDefault="009C73B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0979BD"/>
    <w:rsid w:val="000A4687"/>
    <w:rsid w:val="001C01FC"/>
    <w:rsid w:val="001F5EE1"/>
    <w:rsid w:val="0026698D"/>
    <w:rsid w:val="002A6F94"/>
    <w:rsid w:val="002D2784"/>
    <w:rsid w:val="00344327"/>
    <w:rsid w:val="003B4DBF"/>
    <w:rsid w:val="003B5739"/>
    <w:rsid w:val="003B5F75"/>
    <w:rsid w:val="003C175E"/>
    <w:rsid w:val="003C37BE"/>
    <w:rsid w:val="003F563D"/>
    <w:rsid w:val="00476000"/>
    <w:rsid w:val="00487989"/>
    <w:rsid w:val="004A40EF"/>
    <w:rsid w:val="004B2C94"/>
    <w:rsid w:val="004C1386"/>
    <w:rsid w:val="004D1091"/>
    <w:rsid w:val="00515463"/>
    <w:rsid w:val="005677BE"/>
    <w:rsid w:val="00582BA5"/>
    <w:rsid w:val="00593334"/>
    <w:rsid w:val="006847B8"/>
    <w:rsid w:val="00693E11"/>
    <w:rsid w:val="006D520E"/>
    <w:rsid w:val="006E5C48"/>
    <w:rsid w:val="006F14A4"/>
    <w:rsid w:val="006F3312"/>
    <w:rsid w:val="006F7AD8"/>
    <w:rsid w:val="00742208"/>
    <w:rsid w:val="00755609"/>
    <w:rsid w:val="00765116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C73BF"/>
    <w:rsid w:val="009F49C5"/>
    <w:rsid w:val="00A338BB"/>
    <w:rsid w:val="00AD3EBB"/>
    <w:rsid w:val="00AF327C"/>
    <w:rsid w:val="00B350F3"/>
    <w:rsid w:val="00B84E87"/>
    <w:rsid w:val="00BF1CD1"/>
    <w:rsid w:val="00C15AAC"/>
    <w:rsid w:val="00C35B2E"/>
    <w:rsid w:val="00C83AB7"/>
    <w:rsid w:val="00CB4176"/>
    <w:rsid w:val="00CF1E95"/>
    <w:rsid w:val="00D06B87"/>
    <w:rsid w:val="00D33524"/>
    <w:rsid w:val="00D35869"/>
    <w:rsid w:val="00D471E6"/>
    <w:rsid w:val="00D61E46"/>
    <w:rsid w:val="00D87864"/>
    <w:rsid w:val="00E245A5"/>
    <w:rsid w:val="00E40AAD"/>
    <w:rsid w:val="00E57C66"/>
    <w:rsid w:val="00F0689E"/>
    <w:rsid w:val="00F44E53"/>
    <w:rsid w:val="00F510EB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01">
    <w:name w:val="fontstyle01"/>
    <w:basedOn w:val="a0"/>
    <w:rsid w:val="00C15A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SALE-COMPUTERS</cp:lastModifiedBy>
  <cp:revision>13</cp:revision>
  <dcterms:created xsi:type="dcterms:W3CDTF">2019-02-26T05:11:00Z</dcterms:created>
  <dcterms:modified xsi:type="dcterms:W3CDTF">2019-03-15T15:50:00Z</dcterms:modified>
</cp:coreProperties>
</file>