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Министерство науки и высшего образования 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Российской Федерации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Федеральное государственное автономное образовательное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учреждение высшего образования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«Московский государственный юридический университет 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имени О. Е. Кутафина (МГЮА)»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Университет имени О.Е. Кутафина</w:t>
      </w: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Оренбургский институт (филиал)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Студенческое научное общество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XXXII ежегодная Всероссийская студенческая научная конференция с международным участием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ВОПРОСЫ РАЗВИТИЯ ГОСУДАРСТВЕННОСТИ И ПРАВОВОЙ СИСТЕМЫ В СОВРЕМЕННОЙ РОССИИ: К 95-ЛЕТИ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Информационное письмо-приглашение</w:t>
      </w:r>
    </w:p>
    <w:p w:rsidR="005620CC" w:rsidRDefault="005620CC">
      <w:pPr>
        <w:contextualSpacing/>
        <w:jc w:val="center"/>
        <w:rPr>
          <w:rFonts w:ascii="Times New Roman" w:hAnsi="Times New Roman" w:cs="Times New Roman"/>
          <w:b/>
        </w:rPr>
      </w:pPr>
    </w:p>
    <w:p w:rsidR="005620CC" w:rsidRDefault="000B70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02385" cy="1264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0" t="14768" r="13007" b="15190"/>
                    <a:stretch>
                      <a:fillRect/>
                    </a:stretch>
                  </pic:blipFill>
                  <pic:spPr>
                    <a:xfrm>
                      <a:off x="0" y="0"/>
                      <a:ext cx="1303128" cy="12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CC" w:rsidRDefault="005620CC">
      <w:pPr>
        <w:jc w:val="right"/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5620CC">
      <w:pPr>
        <w:rPr>
          <w:rFonts w:ascii="Times New Roman" w:hAnsi="Times New Roman" w:cs="Times New Roman"/>
        </w:rPr>
      </w:pPr>
    </w:p>
    <w:p w:rsidR="005620CC" w:rsidRDefault="000B70E2">
      <w:pPr>
        <w:tabs>
          <w:tab w:val="left" w:pos="538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620CC" w:rsidRDefault="000B70E2">
      <w:pPr>
        <w:jc w:val="center"/>
        <w:rPr>
          <w:rFonts w:ascii="Times New Roman" w:hAnsi="Times New Roman" w:cs="Times New Roman"/>
          <w:b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Оренбург, 2026 г.</w:t>
      </w:r>
    </w:p>
    <w:p w:rsidR="005620CC" w:rsidRDefault="000B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 коллеги!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>
        <w:rPr>
          <w:rFonts w:ascii="Times New Roman" w:hAnsi="Times New Roman" w:cs="Times New Roman"/>
          <w:b/>
          <w:sz w:val="28"/>
          <w:szCs w:val="28"/>
        </w:rPr>
        <w:t>XXXII ежегодной Всероссийской студенческой научной конференции с международным участием «Актуальные вопросы развития государственности и правовой системы в современной России: к 95-лети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Кутафина»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научного мероприятия, планируются выступления с докладами обучающихся ведущих вузов как России, так и зарубежья.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Ожидается, что доклады будут представлены по следующим направлениям: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Цивилистический процесс: история и современность;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право;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Предпринимательское (хозяйственное) право: прошлое, настоящее, будущее;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 и природопользование: актуальные вызовы и правовые решения;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право и право социального обеспечения: традиции и новые горизонты;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Трансформация финансового и налогового права в условиях цифровой экономики;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Конституционное право России: базовые концепты и практика;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право и процесс в системе публичной власти: традиции научной школы МГЮА и современные тенденции;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процесс и криминалистика: практика и инновации;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тенденции социального и экономического развития;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Цифровое право и информационные технологии в юридической деятельности;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права: исторический путь России;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будущему: уроки прошлого в развитии современного государства и права;</w:t>
      </w:r>
    </w:p>
    <w:p w:rsidR="005620CC" w:rsidRDefault="000B70E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право: единство традиций и инноваций.</w:t>
      </w:r>
    </w:p>
    <w:p w:rsidR="005620CC" w:rsidRDefault="005620CC">
      <w:pPr>
        <w:ind w:left="360" w:firstLine="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Конференции оставляет за собой право объединить направления ее деятельности в случае необходимости. 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C605B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Конференции кафедрой социальных и гуманитарных наук предусмотрено проведение комплекса параллельных и последующих мероприятий, расширяющих её научно-дискуссионное пространство. Таким образом, работа конференции не ограничивается пленарным и секционными заседаниями, а получает продолжение в формате тематических научных, дискуссионных и интерактивных площадок.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числе мероприятий: квест по юридической психологии «Профайлер», логическая игра «Криптологика», философские диспуты «Что есть достойная жизнь?», логические игры «Короли логики», «Логические поединки», «Улетная логика», секции по английскому и немецкому языкам, включая круглый стол «Тема непреодоленного прошлого в политике Германии вчера и сегодня».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 конференции, по завершении пленарного заседания, состоится сателлитное мероприятие</w:t>
      </w:r>
      <w:r w:rsidR="00F86D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научно-практический семинар «Наркотики: объединяя усилия медицины, права и общества», организуемый в рамках реализации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620CC" w:rsidRDefault="000B70E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17 апреля 2026 года с 10:00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(время местное)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Оренбургский институт (филиал) ФГАОУ ВО «Московский государственный юридический университет имени О.Е. Кутафина (МГЮА)» (Российская Федерация, г. Оренбург, улица Комсомольская, 50).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Язык конференции:</w:t>
      </w:r>
      <w:r>
        <w:rPr>
          <w:rFonts w:ascii="Times New Roman" w:hAnsi="Times New Roman" w:cs="Times New Roman"/>
          <w:sz w:val="28"/>
          <w:szCs w:val="28"/>
        </w:rPr>
        <w:t xml:space="preserve"> русский.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ОРГКОМИТЕТ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Великий Дмитрий Петрович – кандидат юридических наук, доцент, директор Оренбургского института (филиала) Университета имени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 О.Е. Кутафина (МГЮА), </w:t>
      </w:r>
      <w:r w:rsidR="00F86D52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заведующ</w:t>
      </w:r>
      <w:r w:rsidR="00F86D5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кафедрой уголовно-правовых наук;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Жеребятьев Игорь Владимирович – кандидат юридических наук, и.о. заместителя директора Оренбургского института (филиала) Университета имени О.Е. Кутафина (МГЮА) (по направлению научной работы), доцент кафедры уголовно-правовых наук Оренбургского института (филиала) Университета имени О.Е. Кутафина (МГЮА), мировой судья в отставке;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Сиваракша Инна Владимировна – кандидат юридических наук, доцент, заместитель директора Оренбургского института (филиала) Университета имени О.Е. Кутафина (МГЮА) по молодежной политике, доцент кафедры теоретико-правовых и исторических наук;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Хайранбаева Камилла Саматовна – председатель студенческого научного общества Оренбургского института (филиала) Университета имени О.Е. Кутафина (МГЮА);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Моисеев Борис Сергеевич – заместитель председателя студенческого научного общества Оренбургского института (филиала) Университета имени О.Е. Кутафина (МГЮА) по научным вопросам.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подачи заявки для участия в конференции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на участие, рекомендаций научных руководителей, рукописи докладов осуществляется организационным комитетом конференции – </w:t>
      </w:r>
      <w:r>
        <w:rPr>
          <w:rFonts w:ascii="Times New Roman" w:hAnsi="Times New Roman" w:cs="Times New Roman"/>
          <w:b/>
          <w:sz w:val="28"/>
          <w:szCs w:val="28"/>
        </w:rPr>
        <w:t>до 23 марта 2026 г.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Начало регистрации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17 апреля 2026 года в 07.00 час. по московскому времени.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Начало работы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17 апреля 2026 года в 08.00 час. по московскому времени.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заявки на участие и представлении рукописи доклада необходимо учитывать требования по их оформлению. Если работа не будет соответствовать указанным требованиям, то Оргкомитет уведомляет об этом участника для устранения выявленных нарушений.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Желающие принять участие в Конференции должны выслать </w:t>
      </w:r>
      <w:r>
        <w:rPr>
          <w:rFonts w:ascii="Times New Roman" w:hAnsi="Times New Roman" w:cs="Times New Roman"/>
          <w:b/>
          <w:bCs/>
          <w:sz w:val="28"/>
          <w:szCs w:val="28"/>
        </w:rPr>
        <w:t>до 23 марта 2026 года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электронный адрес: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2025@mail.ru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материалы: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Заявку на участие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Рекомендацию</w:t>
      </w:r>
      <w:r>
        <w:rPr>
          <w:rFonts w:ascii="Times New Roman" w:hAnsi="Times New Roman" w:cs="Times New Roman"/>
          <w:sz w:val="28"/>
          <w:szCs w:val="28"/>
        </w:rPr>
        <w:t xml:space="preserve"> для участия студента, подписанную научным руководителем (в свободной форме, в отсканированном виде).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должна быть отражена позиция научного руководителя относительно оригинальности представленной работы на основании справки о проверке в системе антиплагиата. </w:t>
      </w:r>
      <w:r>
        <w:rPr>
          <w:rFonts w:ascii="Times New Roman" w:hAnsi="Times New Roman" w:cs="Times New Roman"/>
          <w:sz w:val="28"/>
          <w:szCs w:val="28"/>
        </w:rPr>
        <w:t>Рекомендации в формате текстового файла Word оргкомитетом НЕ принимаются. Непредставление рекомендации в отсканированном виде автоматически влечет непринятие заявки участника оргкомитетом;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Тезисы доклада</w:t>
      </w:r>
      <w:r>
        <w:rPr>
          <w:rFonts w:ascii="Times New Roman" w:hAnsi="Times New Roman" w:cs="Times New Roman"/>
          <w:sz w:val="28"/>
          <w:szCs w:val="28"/>
        </w:rPr>
        <w:t xml:space="preserve"> для публикации (приложение 2);</w:t>
      </w:r>
    </w:p>
    <w:p w:rsidR="005620CC" w:rsidRDefault="000B70E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проверки тезисов в системе «Антиплагиат». 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конференции принимаются тезисы объемом </w:t>
      </w:r>
      <w:r>
        <w:rPr>
          <w:rFonts w:ascii="Times New Roman" w:hAnsi="Times New Roman" w:cs="Times New Roman"/>
          <w:b/>
          <w:sz w:val="28"/>
          <w:szCs w:val="28"/>
        </w:rPr>
        <w:t>4–6 страниц машинописного текста на русском языке.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не соответствующие установленным требованиям к оформлению и содержанию, </w:t>
      </w:r>
      <w:r>
        <w:rPr>
          <w:rFonts w:ascii="Times New Roman" w:hAnsi="Times New Roman" w:cs="Times New Roman"/>
          <w:b/>
          <w:sz w:val="28"/>
          <w:szCs w:val="28"/>
        </w:rPr>
        <w:t>Оргкомитетом к рассмотрению не принимаются.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являются обязательными и носят строгий характер: текст должен быть полностью выверен, не содержать орфографических, пунктуационных и стилистических ошибок и строго соответствовать установленным параметрам форматирования.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может выступать автором </w:t>
      </w:r>
      <w:r>
        <w:rPr>
          <w:rFonts w:ascii="Times New Roman" w:hAnsi="Times New Roman" w:cs="Times New Roman"/>
          <w:b/>
          <w:sz w:val="28"/>
          <w:szCs w:val="28"/>
        </w:rPr>
        <w:t>не более чем одной статьи.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соавторство — </w:t>
      </w:r>
      <w:r>
        <w:rPr>
          <w:rFonts w:ascii="Times New Roman" w:hAnsi="Times New Roman" w:cs="Times New Roman"/>
          <w:b/>
          <w:sz w:val="28"/>
          <w:szCs w:val="28"/>
        </w:rPr>
        <w:t>не более 2 авторов в одной работе.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Статьи, поступившие после установленного срока подачи, </w:t>
      </w:r>
      <w:r>
        <w:rPr>
          <w:rFonts w:ascii="Times New Roman" w:hAnsi="Times New Roman" w:cs="Times New Roman"/>
          <w:b/>
          <w:sz w:val="28"/>
          <w:szCs w:val="28"/>
        </w:rPr>
        <w:t>не рассматриваются и не принимаются.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оформления текста.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должен быть набран в текстовом редакторе Microsoft Word в формате .doc или .docx и соответствовать следующим параметрам:</w:t>
      </w:r>
    </w:p>
    <w:p w:rsidR="005620CC" w:rsidRDefault="000B70E2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шрифт —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; размер шрифта — 14 пт; выравнивание — по ширине; межстрочный интервал — 1,5; абзацный отступ — 1,25 см; автоматическая расстановка переносов — включена.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страницы: верхнее — 2 см; нижнее — 2 см; левое — 3 см; правое — 1 см.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оформляется тем же шрифтом (Times New Roman, 14 пт). Объем аннотации — 5–8 предложений, ключевые слова — 6–7 слов</w:t>
      </w:r>
    </w:p>
    <w:p w:rsidR="005620CC" w:rsidRDefault="000B70E2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Сноски — постраничные, нумерация сплошная.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сносок: шрифт — Times New Roman; размер — 12 пт; межстрочный интервал — 1,0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принятые работы дополнительно проверяются Оргкомитетом в системе «Антиплагиат».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текста должна составлять </w:t>
      </w:r>
      <w:r>
        <w:rPr>
          <w:rFonts w:ascii="Times New Roman" w:hAnsi="Times New Roman" w:cs="Times New Roman"/>
          <w:b/>
          <w:i/>
          <w:sz w:val="28"/>
          <w:szCs w:val="28"/>
        </w:rPr>
        <w:t>не менее 70%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проверки в некоммерческой версии системы).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несоответствий работа направляется автору на доработку.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внесения исправлений — </w:t>
      </w:r>
      <w:r>
        <w:rPr>
          <w:rFonts w:ascii="Times New Roman" w:hAnsi="Times New Roman" w:cs="Times New Roman"/>
          <w:b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момента уведомления.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невыполнении требований в указанный срок Оргкомитет вправе отказать в приеме работы без повторного рассмотрения.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не отвечающие данному требованию, отклоняются.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Попытки обхода проверки и использование ИИ: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перевод текста с русского языка на иностранный и последующий обратный перевод с целью искусственного повышения процента оригинальности (например: перевод русского текста на английский через онлайн-переводчик и повторный перевод на русский язык);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техническая маскировка заимствований (например: замена букв символами другого алфавита — русскую «а» на английскую «a», использование невидимых символов, изменение порядка слов без смысловой переработки, механическая замена слов синонимами);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использование систем искусственного интеллекта для генерации текста без последующей авторской переработки и осмысления (например: полная генерация статьи в ИИ-сервисе с минимальными правками или без указания факта использования таких инструментов). </w:t>
      </w: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указанных нарушений </w:t>
      </w:r>
      <w:r>
        <w:rPr>
          <w:rFonts w:ascii="Times New Roman" w:hAnsi="Times New Roman" w:cs="Times New Roman"/>
          <w:b/>
          <w:sz w:val="28"/>
          <w:szCs w:val="28"/>
        </w:rPr>
        <w:t>заявка аннулируется без права повторной подачи.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отбора докладов с учетом их соответствия тематике Конференции, правилам оформления статей, нравственно-этическим требованиям к их содержанию и т.п. 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участие в конференции бесплатное. В Программу конференции включаются участники, заявившие очное или онлайн участие. Участникам, заявившим онлайн-форму, заблаговременно будет направлена ссылка для подключения к конференции (пленарное заседание – общая, по направлениям деятельности – по решению Оргкомитета в зависимости от количества поступивших заявок на онлайн-участие с приоритетом наличия международных выступлений).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Расходы, связанные с проживанием и питанием, осуществляются направляющей стороной.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конференции будет осуществлена публикация докладов в сборнике научных трудов с размещением в РИНЦ, eLibrary.Ru. В сборник будут включены статьи участников, выбравших очную, онлайн и заочную форму участия. Текст сборника будет размещен на официальном сайте Оренбургского института (филиала) Университета имени О.Е. Кутафина (МГЮА).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тексте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электронного письма необходимо указать следующую информацию: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ВУЗа, в котором обучается студент, курс;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участника, наименование доклада, направление конференции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поле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«тема»</w:t>
      </w:r>
      <w:r>
        <w:rPr>
          <w:rFonts w:ascii="Times New Roman" w:hAnsi="Times New Roman" w:cs="Times New Roman"/>
          <w:b/>
          <w:sz w:val="28"/>
          <w:szCs w:val="28"/>
        </w:rPr>
        <w:t xml:space="preserve"> электронного письма необходимо указать: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участника;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конференции.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Названия прикрепленных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должны содержать следующую информацию: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Заявка/Тезисы/Рекомендация научного руководителя (в зависимости от содержания документа);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 и инициалы участника;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доклада.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«Тезисы. Жуков С. А. Влияния на политическую психологию и правосознание людей через СМИ»</w:t>
      </w:r>
    </w:p>
    <w:p w:rsidR="005620CC" w:rsidRDefault="005620C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письма на почту конференции Вам будет отправлено автоматическое уведомление. При неполучении такого уведомления следует продублировать отправку письма с прикрепленными файлами или обратиться в оргкомитет конференции.</w:t>
      </w:r>
    </w:p>
    <w:p w:rsidR="005620CC" w:rsidRDefault="000B70E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к:</w:t>
      </w:r>
    </w:p>
    <w:p w:rsidR="005620CC" w:rsidRDefault="000B70E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Жеребятьеву Игорю Владимировичу на электронную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he_conference@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телефону +7 912 846 54 88 (</w:t>
      </w:r>
      <w:r>
        <w:rPr>
          <w:rFonts w:ascii="Times New Roman" w:hAnsi="Times New Roman" w:cs="Times New Roman"/>
          <w:bCs/>
          <w:sz w:val="28"/>
          <w:szCs w:val="28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МАХ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620CC" w:rsidRDefault="000B70E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Хайранбаевой Камилле Саматовне на электронную почту: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2025@mail.ru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телефону +7 909 619 48 18 (</w:t>
      </w:r>
      <w:r>
        <w:rPr>
          <w:rFonts w:ascii="Times New Roman" w:hAnsi="Times New Roman" w:cs="Times New Roman"/>
          <w:bCs/>
          <w:sz w:val="28"/>
          <w:szCs w:val="28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ВКонтакте </w:t>
      </w:r>
      <w:r>
        <w:rPr>
          <w:rFonts w:ascii="Times New Roman" w:hAnsi="Times New Roman" w:cs="Times New Roman"/>
          <w:bCs/>
          <w:color w:val="0F4761" w:themeColor="accent1" w:themeShade="BF"/>
          <w:sz w:val="28"/>
          <w:szCs w:val="28"/>
          <w:u w:val="single"/>
        </w:rPr>
        <w:t>https://vk.ru/khayranbaeva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620CC" w:rsidRDefault="005620CC">
      <w:pPr>
        <w:rPr>
          <w:rFonts w:ascii="Times New Roman" w:hAnsi="Times New Roman" w:cs="Times New Roman"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20CC" w:rsidRDefault="000B70E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5620CC" w:rsidRDefault="005620CC">
      <w:pPr>
        <w:rPr>
          <w:rFonts w:ascii="Times New Roman" w:hAnsi="Times New Roman" w:cs="Times New Roman"/>
          <w:b/>
          <w:i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ЗАЯВКА НА УЧАСТИЕ</w:t>
      </w:r>
    </w:p>
    <w:p w:rsidR="005620CC" w:rsidRDefault="005620CC">
      <w:pPr>
        <w:contextualSpacing/>
        <w:rPr>
          <w:rFonts w:ascii="Times New Roman" w:hAnsi="Times New Roman" w:cs="Times New Roman"/>
          <w:b/>
          <w:sz w:val="28"/>
        </w:rPr>
      </w:pPr>
    </w:p>
    <w:p w:rsidR="005620CC" w:rsidRDefault="000B70E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 xml:space="preserve">XXXII ежегодной Всероссийской студенческой научной конференции с международным участием </w:t>
      </w:r>
      <w:r>
        <w:rPr>
          <w:rFonts w:ascii="Times New Roman" w:hAnsi="Times New Roman" w:cs="Times New Roman"/>
          <w:b/>
          <w:sz w:val="28"/>
          <w:szCs w:val="28"/>
        </w:rPr>
        <w:t>«Актуальные вопросы развития государственности и правовой системы в современной России: к 95-лети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 имени О.Е. Кутафина (МГЮА) и 85-лети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Оренбургского института (филиала) Университета имени О.Е. Кутафина»</w:t>
      </w:r>
    </w:p>
    <w:p w:rsidR="005620CC" w:rsidRDefault="005620CC">
      <w:pPr>
        <w:contextualSpacing/>
        <w:rPr>
          <w:rFonts w:ascii="Times New Roman" w:hAnsi="Times New Roman" w:cs="Times New Roman"/>
          <w:sz w:val="28"/>
        </w:rPr>
      </w:pP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61"/>
        <w:gridCol w:w="6377"/>
      </w:tblGrid>
      <w:tr w:rsidR="005620CC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Планируемое направление деятельности Конференции и название доклада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ФИО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докладчика(ов)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Организация, которую представляет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докладчик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527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Контакты: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телефон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ind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e-mail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ФИО научного         руководителя (обязательно)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5620CC">
        <w:trPr>
          <w:trHeight w:val="6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0B70E2">
            <w:pPr>
              <w:contextualSpacing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Участие       </w:t>
            </w:r>
          </w:p>
          <w:p w:rsidR="005620CC" w:rsidRDefault="000B70E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(очное/онлайн/заочное)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20CC" w:rsidRDefault="005620C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620CC" w:rsidRDefault="005620CC">
      <w:pPr>
        <w:contextualSpacing/>
        <w:rPr>
          <w:rFonts w:ascii="Times New Roman" w:hAnsi="Times New Roman" w:cs="Times New Roman"/>
          <w:b/>
          <w:bCs/>
          <w:sz w:val="28"/>
        </w:rPr>
      </w:pPr>
    </w:p>
    <w:p w:rsidR="005620CC" w:rsidRDefault="000B70E2">
      <w:pPr>
        <w:contextualSpacing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Вам необходимо </w:t>
      </w:r>
      <w:r>
        <w:rPr>
          <w:rFonts w:ascii="Times New Roman" w:hAnsi="Times New Roman" w:cs="Times New Roman"/>
          <w:b/>
          <w:bCs/>
          <w:sz w:val="28"/>
        </w:rPr>
        <w:t>не позднее 23 марта 2026 года</w:t>
      </w:r>
      <w:r>
        <w:rPr>
          <w:rFonts w:ascii="Times New Roman" w:hAnsi="Times New Roman" w:cs="Times New Roman"/>
          <w:sz w:val="28"/>
        </w:rPr>
        <w:t xml:space="preserve"> прислать: заявку (Приложение 1), тезисы доклада, рекомендацию научного руководителя, справку по итогам проверки тезисов доклада в системе «Антиплагиат» на электронный адрес: </w:t>
      </w:r>
      <w:hyperlink r:id="rId13" w:history="1">
        <w:r>
          <w:rPr>
            <w:rStyle w:val="a4"/>
            <w:rFonts w:ascii="Times New Roman" w:hAnsi="Times New Roman" w:cs="Times New Roman"/>
            <w:sz w:val="28"/>
          </w:rPr>
          <w:t>sno.oi</w:t>
        </w:r>
        <w:r>
          <w:rPr>
            <w:rStyle w:val="a4"/>
            <w:rFonts w:ascii="Times New Roman" w:hAnsi="Times New Roman" w:cs="Times New Roman"/>
            <w:sz w:val="28"/>
            <w:lang w:val="en-US"/>
          </w:rPr>
          <w:t>msal</w:t>
        </w:r>
        <w:r>
          <w:rPr>
            <w:rStyle w:val="a4"/>
            <w:rFonts w:ascii="Times New Roman" w:hAnsi="Times New Roman" w:cs="Times New Roman"/>
            <w:sz w:val="28"/>
          </w:rPr>
          <w:t>2025@mail.ru</w:t>
        </w:r>
      </w:hyperlink>
      <w:r>
        <w:rPr>
          <w:rFonts w:ascii="Times New Roman" w:hAnsi="Times New Roman" w:cs="Times New Roman"/>
          <w:b/>
          <w:bCs/>
          <w:sz w:val="28"/>
        </w:rPr>
        <w:t>.</w:t>
      </w:r>
    </w:p>
    <w:p w:rsidR="005620CC" w:rsidRDefault="005620CC">
      <w:pPr>
        <w:contextualSpacing/>
        <w:rPr>
          <w:rFonts w:ascii="Times New Roman" w:hAnsi="Times New Roman" w:cs="Times New Roman"/>
          <w:b/>
          <w:bCs/>
          <w:sz w:val="28"/>
        </w:rPr>
        <w:sectPr w:rsidR="005620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620CC" w:rsidRDefault="000B70E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5620CC" w:rsidRDefault="000B70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0CC" w:rsidRDefault="000B70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тезисов доклада</w:t>
      </w:r>
    </w:p>
    <w:p w:rsidR="005620CC" w:rsidRDefault="005620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Влияния на политическую психологию и правосознание людей через СМИ</w:t>
      </w:r>
    </w:p>
    <w:p w:rsidR="005620CC" w:rsidRDefault="005620C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Иванов Иван Иванович,</w:t>
      </w: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 Оренбургского института (филиала) Университета имени</w:t>
      </w:r>
    </w:p>
    <w:p w:rsidR="005620CC" w:rsidRDefault="000B70E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 Е. Кутафина (МГЮА), г.Оренбург</w:t>
      </w:r>
    </w:p>
    <w:p w:rsidR="005620CC" w:rsidRDefault="005620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20CC" w:rsidRDefault="000B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В данной статье рассматривается проблема влияния агрессивного информационного поля на сознание и политическую психологию людей и общая роль СМИ в становлении политической системы государства.</w:t>
      </w:r>
    </w:p>
    <w:p w:rsidR="005620CC" w:rsidRDefault="000B70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СМИ, политическая психология, механизмы воздействия, информационное поле</w:t>
      </w:r>
    </w:p>
    <w:p w:rsidR="005620CC" w:rsidRDefault="000B7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CC" w:rsidRDefault="000B7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роль СМИ существует несколько взглядов. При этом в теории государства и права доминирует точка зрения, согласно которой СМИ можно выделить в «четвёртую ветвь власти». «Эта четвертая власть оказывается не метафорой, а реальной, хотя и специфической властью, обладающей мощным воздействием на общественные отношения».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</w:p>
    <w:p w:rsidR="005620CC" w:rsidRDefault="000B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20CC" w:rsidSect="005620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0A" w:rsidRDefault="006E7E0A" w:rsidP="005620CC">
      <w:pPr>
        <w:spacing w:after="0"/>
      </w:pPr>
      <w:r>
        <w:separator/>
      </w:r>
    </w:p>
  </w:endnote>
  <w:endnote w:type="continuationSeparator" w:id="0">
    <w:p w:rsidR="006E7E0A" w:rsidRDefault="006E7E0A" w:rsidP="00562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0A" w:rsidRDefault="006E7E0A">
      <w:pPr>
        <w:spacing w:after="0"/>
      </w:pPr>
      <w:r>
        <w:separator/>
      </w:r>
    </w:p>
  </w:footnote>
  <w:footnote w:type="continuationSeparator" w:id="0">
    <w:p w:rsidR="006E7E0A" w:rsidRDefault="006E7E0A">
      <w:pPr>
        <w:spacing w:after="0"/>
      </w:pPr>
      <w:r>
        <w:continuationSeparator/>
      </w:r>
    </w:p>
  </w:footnote>
  <w:footnote w:id="1">
    <w:p w:rsidR="005620CC" w:rsidRDefault="000B70E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Венгеров А. Б. Теория государства и права. 3-е изд. – М.: Юриспруденция, 2000. – С.68.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028"/>
    <w:multiLevelType w:val="multilevel"/>
    <w:tmpl w:val="3A882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AC4"/>
    <w:multiLevelType w:val="multilevel"/>
    <w:tmpl w:val="3F026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77CB1"/>
    <w:multiLevelType w:val="multilevel"/>
    <w:tmpl w:val="70677CB1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19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8F"/>
    <w:rsid w:val="00003396"/>
    <w:rsid w:val="00090D4F"/>
    <w:rsid w:val="000B2121"/>
    <w:rsid w:val="000B70E2"/>
    <w:rsid w:val="000E274E"/>
    <w:rsid w:val="00131BCA"/>
    <w:rsid w:val="001E1752"/>
    <w:rsid w:val="00225007"/>
    <w:rsid w:val="002A69EC"/>
    <w:rsid w:val="003A771E"/>
    <w:rsid w:val="00400AED"/>
    <w:rsid w:val="004072A7"/>
    <w:rsid w:val="004A6171"/>
    <w:rsid w:val="004D4416"/>
    <w:rsid w:val="004E1418"/>
    <w:rsid w:val="005620CC"/>
    <w:rsid w:val="005B3CAD"/>
    <w:rsid w:val="00601BBE"/>
    <w:rsid w:val="00662F79"/>
    <w:rsid w:val="006647BC"/>
    <w:rsid w:val="00692366"/>
    <w:rsid w:val="006A2C66"/>
    <w:rsid w:val="006C39C0"/>
    <w:rsid w:val="006E7E0A"/>
    <w:rsid w:val="00742CD4"/>
    <w:rsid w:val="007D4E3D"/>
    <w:rsid w:val="007E738F"/>
    <w:rsid w:val="008254E7"/>
    <w:rsid w:val="00875F81"/>
    <w:rsid w:val="00886454"/>
    <w:rsid w:val="008B467C"/>
    <w:rsid w:val="008D0E5A"/>
    <w:rsid w:val="00926A05"/>
    <w:rsid w:val="009350C5"/>
    <w:rsid w:val="00A30986"/>
    <w:rsid w:val="00A832EB"/>
    <w:rsid w:val="00AA3DA7"/>
    <w:rsid w:val="00AA41A1"/>
    <w:rsid w:val="00AC605B"/>
    <w:rsid w:val="00B05E72"/>
    <w:rsid w:val="00B07486"/>
    <w:rsid w:val="00B17010"/>
    <w:rsid w:val="00B3317A"/>
    <w:rsid w:val="00B51755"/>
    <w:rsid w:val="00BA52FE"/>
    <w:rsid w:val="00BF76B8"/>
    <w:rsid w:val="00C056EE"/>
    <w:rsid w:val="00C060FF"/>
    <w:rsid w:val="00C67EA1"/>
    <w:rsid w:val="00C77D06"/>
    <w:rsid w:val="00CA3DE7"/>
    <w:rsid w:val="00D0246D"/>
    <w:rsid w:val="00DC2CE6"/>
    <w:rsid w:val="00E710D3"/>
    <w:rsid w:val="00E75ABC"/>
    <w:rsid w:val="00EC6A72"/>
    <w:rsid w:val="00ED17F2"/>
    <w:rsid w:val="00F13638"/>
    <w:rsid w:val="00F37F6E"/>
    <w:rsid w:val="00F86D52"/>
    <w:rsid w:val="00F95960"/>
    <w:rsid w:val="00FA0EB0"/>
    <w:rsid w:val="00FE4C9D"/>
    <w:rsid w:val="00FF4325"/>
    <w:rsid w:val="2C5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CC"/>
    <w:pPr>
      <w:spacing w:after="160"/>
      <w:ind w:firstLine="709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0CC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0CC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5620CC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5620CC"/>
    <w:rPr>
      <w:color w:val="467886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5620CC"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5620CC"/>
    <w:pPr>
      <w:spacing w:after="0"/>
    </w:pPr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562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56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6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6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62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62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62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62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620CC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620CC"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0"/>
    <w:link w:val="a9"/>
    <w:uiPriority w:val="10"/>
    <w:qFormat/>
    <w:rsid w:val="0056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5620C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620CC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5620CC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56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5620CC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5620CC"/>
    <w:rPr>
      <w:b/>
      <w:bCs/>
      <w:smallCaps/>
      <w:color w:val="0F4761" w:themeColor="accent1" w:themeShade="BF"/>
      <w:spacing w:val="5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5620CC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620CC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5620CC"/>
    <w:pPr>
      <w:jc w:val="both"/>
    </w:pPr>
    <w:rPr>
      <w:rFonts w:ascii="Calibri" w:eastAsia="SimSun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CC"/>
    <w:pPr>
      <w:spacing w:after="160"/>
      <w:ind w:firstLine="709"/>
      <w:jc w:val="both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0CC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0CC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5620CC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5620CC"/>
    <w:rPr>
      <w:color w:val="467886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5620CC"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5620CC"/>
    <w:pPr>
      <w:spacing w:after="0"/>
    </w:pPr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562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56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6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6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62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62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62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62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620CC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620CC"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0"/>
    <w:link w:val="a9"/>
    <w:uiPriority w:val="10"/>
    <w:qFormat/>
    <w:rsid w:val="0056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sid w:val="005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5620C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620CC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5620CC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56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sid w:val="005620CC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5620CC"/>
    <w:rPr>
      <w:b/>
      <w:bCs/>
      <w:smallCaps/>
      <w:color w:val="0F4761" w:themeColor="accent1" w:themeShade="BF"/>
      <w:spacing w:val="5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5620CC"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620CC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5620CC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no.oimsal2025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no.oimsal202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_conference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no.oimsal2025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B124-DC13-4263-9FD2-F11329B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Admin</cp:lastModifiedBy>
  <cp:revision>2</cp:revision>
  <dcterms:created xsi:type="dcterms:W3CDTF">2026-03-04T14:52:00Z</dcterms:created>
  <dcterms:modified xsi:type="dcterms:W3CDTF">2026-03-04T14:52:00Z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80F5367DBF0A4C57AD4ADBA59EC6334D_12</vt:lpwstr>
  </property>
</Properties>
</file>