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56" w:rsidRPr="00955A56" w:rsidRDefault="00955A56" w:rsidP="00955A56">
      <w:pPr>
        <w:spacing w:after="0" w:line="315" w:lineRule="atLeast"/>
        <w:jc w:val="center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Bold" w:eastAsia="Times New Roman" w:hAnsi="PTSansBold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ПОРЯДОК РАССМОТРЕНИЯ ДОКУМЕНТОВ</w:t>
      </w: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</w:t>
      </w:r>
      <w:r w:rsidRPr="00955A56">
        <w:rPr>
          <w:rFonts w:ascii="PTSansBold" w:eastAsia="Times New Roman" w:hAnsi="PTSansBold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 ПРЕДСТАВЛЕНИЮ К ПРИСВОЕНИЮ УЧЕНОГО ЗВАНИЯ ПРОФЕССОРА/ДОЦЕНТА ПО НАУЧНОЙ СПЕЦИАЛЬНОСТИ 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1.</w:t>
      </w:r>
      <w:r w:rsidRPr="00955A56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955A56">
        <w:rPr>
          <w:rFonts w:ascii="PTSansBold" w:eastAsia="Times New Roman" w:hAnsi="PTSansBold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Заседание кафедры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Кафедра оценивает педагогическую и научную деятельность соискателя в соответствии с требованиями, предъявляемыми Положением о присвоении ученых званий </w:t>
      </w:r>
      <w:r w:rsidRPr="00955A56">
        <w:rPr>
          <w:rFonts w:ascii="PTSansBold" w:eastAsia="Times New Roman" w:hAnsi="PTSansBold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(</w:t>
      </w: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утвержденным </w:t>
      </w:r>
      <w:hyperlink r:id="rId5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10 декабря 2013 г. N1139 «О порядке присвоения ученых званий»</w:t>
        </w:r>
      </w:hyperlink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) и отражает это в заключении. Готовит выписку из протокола заседания с результатами голосования, и обращается к ученому совету факультета с просьбой ходатайствовать перед ученым советом университета о представлении соискателя к присвоению ученого звания профессора/доцента по научной специальности.</w:t>
      </w:r>
    </w:p>
    <w:p w:rsidR="00955A56" w:rsidRDefault="00955A56" w:rsidP="001208C7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</w:t>
      </w:r>
      <w:r w:rsidR="001208C7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2.При получении положительного заключения кафедры, соискатель пишет заявление на имя ректора</w:t>
      </w:r>
    </w:p>
    <w:p w:rsidR="001208C7" w:rsidRDefault="001208C7" w:rsidP="001208C7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Заключение кафедры, Заявление и весь пакет документов  представить Ученому секретарю Совета университета.</w:t>
      </w:r>
    </w:p>
    <w:p w:rsidR="001208C7" w:rsidRPr="00955A56" w:rsidRDefault="001208C7" w:rsidP="001208C7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</w:p>
    <w:p w:rsidR="00955A56" w:rsidRPr="00955A56" w:rsidRDefault="003B062D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3</w:t>
      </w:r>
      <w:r w:rsidR="001208C7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="00955A56" w:rsidRPr="00955A56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="00955A56" w:rsidRPr="00955A56">
        <w:rPr>
          <w:rFonts w:ascii="PTSansBold" w:eastAsia="Times New Roman" w:hAnsi="PTSansBold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Ученый совет </w:t>
      </w:r>
      <w:r w:rsidR="001F3259">
        <w:rPr>
          <w:rFonts w:ascii="PTSansBold" w:eastAsia="Times New Roman" w:hAnsi="PTSansBold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У</w:t>
      </w:r>
      <w:r w:rsidR="00955A56" w:rsidRPr="00955A56">
        <w:rPr>
          <w:rFonts w:ascii="PTSansBold" w:eastAsia="Times New Roman" w:hAnsi="PTSansBold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ниверситета</w:t>
      </w:r>
    </w:p>
    <w:p w:rsidR="00955A56" w:rsidRPr="00955A56" w:rsidRDefault="001208C7" w:rsidP="00955A56">
      <w:pPr>
        <w:spacing w:before="225" w:after="225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Выверенные  и выправленные д</w:t>
      </w:r>
      <w:r w:rsidR="00955A56"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окументы по представлению к присвоению ученого звания профессора/доцента по научной специальности должны поступить ученому секретарю ученого совета университета не позднее, чем за 10 рабочих дней до заседания ученого совета университета. При </w:t>
      </w:r>
      <w:r w:rsidR="00C1456D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готовности документов и </w:t>
      </w:r>
      <w:r w:rsidR="00955A56"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положительном </w:t>
      </w:r>
      <w:r w:rsidR="00C1456D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заключении ректора на заявлении соискателя рассмотрение дела соискателя </w:t>
      </w:r>
      <w:r w:rsidR="00955A56"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включается в повестку дня заседания ученого совета университета.</w:t>
      </w:r>
    </w:p>
    <w:p w:rsidR="00955A56" w:rsidRPr="00955A56" w:rsidRDefault="00955A56" w:rsidP="00955A56">
      <w:pPr>
        <w:spacing w:before="225" w:after="225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По результатам тайного голосования ученый совет университета принимает решение о представлении соискателя к присвоению ученого звания профессора/доцента по научной специальности.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</w:t>
      </w:r>
      <w:r w:rsidR="003B062D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4</w:t>
      </w:r>
      <w:r w:rsidRPr="00955A56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. Необходимые образцы документов для оформления аттестационного дела: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- </w:t>
      </w:r>
      <w:r w:rsidRPr="00955A56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ОБРАЗЕЦ </w:t>
      </w:r>
      <w:hyperlink r:id="rId6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заявления</w:t>
        </w:r>
      </w:hyperlink>
      <w:hyperlink r:id="rId7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;</w:t>
        </w:r>
      </w:hyperlink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- МАКЕТ - </w:t>
      </w:r>
      <w:hyperlink r:id="rId8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заключение кафедры</w:t>
        </w:r>
      </w:hyperlink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;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Bold" w:eastAsia="Times New Roman" w:hAnsi="PTSansBold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СПРАВКА о представлении соискателя ученого звания к присвоению ученого звания по научной специальности (форма справки приведена в </w:t>
      </w:r>
      <w:hyperlink r:id="rId9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N 1</w:t>
        </w:r>
      </w:hyperlink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к Административному регламенту);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- СПИСОК опубликованных учебных изданий и научных трудов соискателя ученого звания (форма списка приведена в </w:t>
      </w:r>
      <w:hyperlink r:id="rId10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N 2</w:t>
        </w:r>
      </w:hyperlink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к Административному регламенту);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- СПРАВКА 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 на условиях почасовой оплаты труда (представляется при наличии) (форма справки приведена в </w:t>
      </w:r>
      <w:hyperlink r:id="rId11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N 3</w:t>
        </w:r>
      </w:hyperlink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к Административному регламенту);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lastRenderedPageBreak/>
        <w:t>- для соискателей ученого звания профессора - СПИСОК ЛИЦ, у которых соискатель ученого звания был научным руководителем или научным консультантом и которым присуждены ученые степени, с указанием названий их диссертаций и года присуждения ученых степеней доктора наук или кандидата наук, заверенный ученым секретарем совета организации (форма списка приведена в </w:t>
      </w:r>
      <w:hyperlink r:id="rId12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N 4</w:t>
        </w:r>
      </w:hyperlink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к Административному регламенту);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-  РЕГИСТРАЦИОННО-УЧЕТНАЯ КАРТОЧКА (форма регистрационно-учетной карточки приведена в </w:t>
      </w:r>
      <w:hyperlink r:id="rId13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N 5</w:t>
        </w:r>
      </w:hyperlink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к Административному регламенту);</w:t>
      </w:r>
    </w:p>
    <w:p w:rsidR="00955A56" w:rsidRPr="00955A56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-  СПРАВКА о педагогической работе соискателя ученого звания в образовательных организациях высшего образования, организациях дополнительного профессионального образования, научных организациях (форма справки приведена в </w:t>
      </w:r>
      <w:hyperlink r:id="rId14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N 6</w:t>
        </w:r>
      </w:hyperlink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к Административному регламенту).</w:t>
      </w:r>
    </w:p>
    <w:p w:rsidR="00AF42D1" w:rsidRDefault="00955A56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-  СПИСОК подготовленных соискателем лиц, являющихся чемпионами, призерами Олимпийских игр, </w:t>
      </w:r>
      <w:proofErr w:type="spellStart"/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Паралимпийских</w:t>
      </w:r>
      <w:proofErr w:type="spellEnd"/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игр, чемпионатов мира, Европы, Российской Федерации, национальных чемпионатов по направлению физической культуры и спорта (форма списка приведена в </w:t>
      </w:r>
      <w:hyperlink r:id="rId15" w:history="1">
        <w:r w:rsidRPr="00955A56">
          <w:rPr>
            <w:rFonts w:ascii="inherit" w:eastAsia="Times New Roman" w:hAnsi="inherit" w:cs="Times New Roman"/>
            <w:color w:val="0D4BA7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N 9</w:t>
        </w:r>
      </w:hyperlink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 к Административному регламенту).</w:t>
      </w:r>
    </w:p>
    <w:p w:rsidR="00AF42D1" w:rsidRDefault="00AF42D1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    -   </w:t>
      </w:r>
      <w:r w:rsidRPr="00AF42D1">
        <w:rPr>
          <w:rFonts w:ascii="PTSansRegular" w:eastAsia="Times New Roman" w:hAnsi="PTSansRegular" w:cs="Times New Roman" w:hint="eastAsia"/>
          <w:color w:val="000000"/>
          <w:sz w:val="27"/>
          <w:szCs w:val="27"/>
          <w:lang w:eastAsia="ru-RU"/>
        </w:rPr>
        <w:t>КСЕРОКОПИИ</w:t>
      </w:r>
      <w:r w:rsidRPr="00AF42D1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</w:t>
      </w:r>
      <w:r w:rsidRPr="00AF42D1">
        <w:rPr>
          <w:rFonts w:ascii="PTSansRegular" w:eastAsia="Times New Roman" w:hAnsi="PTSansRegular" w:cs="Times New Roman" w:hint="eastAsia"/>
          <w:color w:val="000000"/>
          <w:sz w:val="27"/>
          <w:szCs w:val="27"/>
          <w:lang w:eastAsia="ru-RU"/>
        </w:rPr>
        <w:t>СТАТЕЙ</w:t>
      </w:r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журн.ВАК</w:t>
      </w:r>
      <w:proofErr w:type="spellEnd"/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за последние 3 года</w:t>
      </w:r>
    </w:p>
    <w:p w:rsidR="00AF42D1" w:rsidRPr="00955A56" w:rsidRDefault="00AF42D1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    - </w:t>
      </w:r>
      <w:r>
        <w:rPr>
          <w:rFonts w:ascii="PTSansRegular" w:eastAsia="Times New Roman" w:hAnsi="PTSansRegular" w:cs="Times New Roman" w:hint="eastAsia"/>
          <w:color w:val="000000"/>
          <w:sz w:val="27"/>
          <w:szCs w:val="27"/>
          <w:lang w:eastAsia="ru-RU"/>
        </w:rPr>
        <w:t>КСЕРОКОПИИ</w:t>
      </w:r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PTSansRegular" w:eastAsia="Times New Roman" w:hAnsi="PTSansRegular" w:cs="Times New Roman" w:hint="eastAsia"/>
          <w:color w:val="000000"/>
          <w:sz w:val="27"/>
          <w:szCs w:val="27"/>
          <w:lang w:eastAsia="ru-RU"/>
        </w:rPr>
        <w:t>ПЕРВЫХ</w:t>
      </w:r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3-</w:t>
      </w:r>
      <w:r>
        <w:rPr>
          <w:rFonts w:ascii="PTSansRegular" w:eastAsia="Times New Roman" w:hAnsi="PTSansRegular" w:cs="Times New Roman" w:hint="eastAsia"/>
          <w:color w:val="000000"/>
          <w:sz w:val="27"/>
          <w:szCs w:val="27"/>
          <w:lang w:eastAsia="ru-RU"/>
        </w:rPr>
        <w:t>Х</w:t>
      </w:r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PTSansRegular" w:eastAsia="Times New Roman" w:hAnsi="PTSansRegular" w:cs="Times New Roman" w:hint="eastAsia"/>
          <w:color w:val="000000"/>
          <w:sz w:val="27"/>
          <w:szCs w:val="27"/>
          <w:lang w:eastAsia="ru-RU"/>
        </w:rPr>
        <w:t>СТРАНИЦ</w:t>
      </w:r>
      <w:r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 методических пособий за последние 3-года</w:t>
      </w:r>
    </w:p>
    <w:p w:rsidR="00955A56" w:rsidRPr="00955A56" w:rsidRDefault="001208C7" w:rsidP="00955A56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5</w:t>
      </w:r>
      <w:r w:rsidR="00955A56" w:rsidRPr="00955A56">
        <w:rPr>
          <w:rFonts w:ascii="inherit" w:eastAsia="Times New Roman" w:hAnsi="inherit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. Консультации</w:t>
      </w:r>
    </w:p>
    <w:p w:rsidR="001D1D26" w:rsidRDefault="00955A56" w:rsidP="003B062D">
      <w:pPr>
        <w:spacing w:after="0" w:line="240" w:lineRule="auto"/>
        <w:jc w:val="both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Консультацию и необходимые образцы документов для оформления аттестационного дела по присвоению ученого звания профессора/доцента по научной специальности, можно получить у ученого секретаря ученого совета университета (первый корпус, ауд.</w:t>
      </w:r>
      <w:proofErr w:type="gramStart"/>
      <w:r w:rsidR="00C1456D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305</w:t>
      </w: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.</w:t>
      </w:r>
      <w:proofErr w:type="gramEnd"/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, тел.</w:t>
      </w:r>
      <w:r w:rsidR="00A94051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500606 доб.</w:t>
      </w:r>
      <w:r w:rsidR="00C1456D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607</w:t>
      </w:r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 xml:space="preserve">, </w:t>
      </w:r>
      <w:bookmarkStart w:id="0" w:name="_GoBack"/>
      <w:bookmarkEnd w:id="0"/>
      <w:r w:rsidRPr="00955A56"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  <w:t>или по электронной почте </w:t>
      </w:r>
      <w:hyperlink r:id="rId16" w:history="1">
        <w:r w:rsidR="001D1D26" w:rsidRPr="00DB72B0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sovet@</w:t>
        </w:r>
        <w:r w:rsidR="001D1D26" w:rsidRPr="00DB72B0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orgma</w:t>
        </w:r>
        <w:r w:rsidR="001D1D26" w:rsidRPr="00DB72B0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.ru</w:t>
        </w:r>
      </w:hyperlink>
    </w:p>
    <w:p w:rsidR="00AF42D1" w:rsidRPr="00B422FB" w:rsidRDefault="00AF42D1" w:rsidP="003B062D">
      <w:pPr>
        <w:spacing w:after="0" w:line="240" w:lineRule="auto"/>
        <w:jc w:val="both"/>
        <w:rPr>
          <w:rFonts w:ascii="Arial" w:eastAsia="Times New Roman" w:hAnsi="Arial" w:cs="Arial"/>
          <w:color w:val="0058A9"/>
          <w:sz w:val="28"/>
          <w:szCs w:val="28"/>
          <w:u w:val="single"/>
          <w:lang w:eastAsia="ru-RU"/>
        </w:rPr>
      </w:pPr>
    </w:p>
    <w:p w:rsidR="00955A56" w:rsidRPr="00955A56" w:rsidRDefault="00955A56" w:rsidP="003B062D">
      <w:pPr>
        <w:spacing w:after="0" w:line="315" w:lineRule="atLeast"/>
        <w:jc w:val="both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</w:p>
    <w:p w:rsidR="00955A56" w:rsidRPr="00955A56" w:rsidRDefault="00955A56" w:rsidP="00955A56">
      <w:pPr>
        <w:spacing w:after="0" w:line="315" w:lineRule="atLeast"/>
        <w:jc w:val="center"/>
        <w:textAlignment w:val="baseline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 w:rsidRPr="00955A56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p w:rsidR="009629D2" w:rsidRDefault="009629D2"/>
    <w:sectPr w:rsidR="0096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PTSans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D6AB7"/>
    <w:multiLevelType w:val="multilevel"/>
    <w:tmpl w:val="5B9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D7"/>
    <w:rsid w:val="001208C7"/>
    <w:rsid w:val="001D1D26"/>
    <w:rsid w:val="001F3259"/>
    <w:rsid w:val="003B062D"/>
    <w:rsid w:val="004A61D7"/>
    <w:rsid w:val="00955A56"/>
    <w:rsid w:val="009629D2"/>
    <w:rsid w:val="00A94051"/>
    <w:rsid w:val="00AF42D1"/>
    <w:rsid w:val="00BD4E83"/>
    <w:rsid w:val="00C1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7479-90E2-442B-9B0D-A76909FE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gau.ru/upload/%D0%97%D0%90%D0%9A%D0%9B%D0%AE%D0%A7%D0%95%D0%9D%D0%98%D0%95-%20%D0%B2%D1%8B%D0%BF%D0%B8%D1%81%D0%BA%D0%B0%20%D0%B8%D0%B7%20%D0%B7%D0%B0%D1%81%D0%B5%D0%B4%D0%B0%D0%BD%D0%B8%D1%8F%20%D0%9A%D0%90%D0%A4%D0%95%D0%94%D0%A0%D0%AB+.pdf" TargetMode="External"/><Relationship Id="rId13" Type="http://schemas.openxmlformats.org/officeDocument/2006/relationships/hyperlink" Target="http://www.omgau.ru/upload/iblock/022/Prilozhenie_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mgau.ru/upload/%D0%97%D0%90%D0%AF%D0%92%D0%9B%D0%95%D0%9D%D0%98%D0%95.pdf" TargetMode="External"/><Relationship Id="rId12" Type="http://schemas.openxmlformats.org/officeDocument/2006/relationships/hyperlink" Target="http://www.omgau.ru/upload/iblock/b05/Prilozhenie_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ovet@orgm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mgau.ru/upload/%D0%97%D0%90%D0%AF%D0%92%D0%9B%D0%95%D0%9D%D0%98%D0%95.pdf" TargetMode="External"/><Relationship Id="rId11" Type="http://schemas.openxmlformats.org/officeDocument/2006/relationships/hyperlink" Target="http://www.omgau.ru/upload/iblock/601/Prilozhenie_3.pdf" TargetMode="External"/><Relationship Id="rId5" Type="http://schemas.openxmlformats.org/officeDocument/2006/relationships/hyperlink" Target="http://www.omgau.ru/upload/iblock/8cb/POSTANOVLENIE_PRAVITELSTVA_ROSSIJSKOJ_FEDERACII.pdf" TargetMode="External"/><Relationship Id="rId15" Type="http://schemas.openxmlformats.org/officeDocument/2006/relationships/hyperlink" Target="http://www.omgau.ru/upload/iblock/b7e/Prilozhenie_9.pdf" TargetMode="External"/><Relationship Id="rId10" Type="http://schemas.openxmlformats.org/officeDocument/2006/relationships/hyperlink" Target="http://www.omgau.ru/upload/iblock/b7b/Prilozhenie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gau.ru/upload/iblock/8da/Prilozhenie_1.pdf" TargetMode="External"/><Relationship Id="rId14" Type="http://schemas.openxmlformats.org/officeDocument/2006/relationships/hyperlink" Target="http://www.omgau.ru/upload/iblock/bb8/Prilozhenie_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Соловых Галина Николаевна</dc:creator>
  <cp:keywords/>
  <dc:description/>
  <cp:lastModifiedBy>Лебедянцев Евгений Викторович</cp:lastModifiedBy>
  <cp:revision>10</cp:revision>
  <dcterms:created xsi:type="dcterms:W3CDTF">2018-03-22T11:35:00Z</dcterms:created>
  <dcterms:modified xsi:type="dcterms:W3CDTF">2019-10-22T04:18:00Z</dcterms:modified>
</cp:coreProperties>
</file>