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>ПО САМОСТОЯТЕЛЬНОЙ РАБОТЕ ОБУЧАЮЩИХСЯ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00C0" w:rsidRPr="00320B9D" w:rsidRDefault="00320B9D" w:rsidP="009200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УРОЛОГИЯ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CF7355" w:rsidRDefault="00121069" w:rsidP="001210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1069" w:rsidRPr="00320B9D" w:rsidRDefault="00121069" w:rsidP="00121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20B9D">
        <w:rPr>
          <w:rFonts w:ascii="Times New Roman" w:hAnsi="Times New Roman"/>
          <w:sz w:val="24"/>
          <w:szCs w:val="24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21069" w:rsidRPr="001C249B" w:rsidRDefault="00121069" w:rsidP="00121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938FF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9  от « 30 » апреля 2021</w:t>
      </w:r>
      <w:bookmarkStart w:id="0" w:name="_GoBack"/>
      <w:bookmarkEnd w:id="0"/>
      <w:r w:rsidR="00121069"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r w:rsidR="000A1E97">
        <w:rPr>
          <w:rFonts w:ascii="Times New Roman" w:hAnsi="Times New Roman" w:cs="Times New Roman"/>
          <w:sz w:val="28"/>
        </w:rPr>
        <w:t>систематизировать</w:t>
      </w:r>
      <w:r w:rsidR="00121069">
        <w:rPr>
          <w:rFonts w:ascii="Times New Roman" w:hAnsi="Times New Roman" w:cs="Times New Roman"/>
          <w:sz w:val="28"/>
        </w:rPr>
        <w:t xml:space="preserve"> знания по</w:t>
      </w:r>
      <w:r w:rsidR="003E1CA7">
        <w:rPr>
          <w:rFonts w:ascii="Times New Roman" w:hAnsi="Times New Roman" w:cs="Times New Roman"/>
          <w:sz w:val="28"/>
        </w:rPr>
        <w:t xml:space="preserve"> основным</w:t>
      </w:r>
      <w:r w:rsidR="00121069">
        <w:rPr>
          <w:rFonts w:ascii="Times New Roman" w:hAnsi="Times New Roman" w:cs="Times New Roman"/>
          <w:sz w:val="28"/>
        </w:rPr>
        <w:t xml:space="preserve"> вопросам </w:t>
      </w:r>
      <w:r w:rsidR="003E1CA7">
        <w:rPr>
          <w:rFonts w:ascii="Times New Roman" w:hAnsi="Times New Roman" w:cs="Times New Roman"/>
          <w:sz w:val="28"/>
        </w:rPr>
        <w:t>урологии</w:t>
      </w:r>
      <w:r w:rsidR="000A1E97">
        <w:rPr>
          <w:rFonts w:ascii="Times New Roman" w:hAnsi="Times New Roman" w:cs="Times New Roman"/>
          <w:sz w:val="28"/>
        </w:rPr>
        <w:t xml:space="preserve"> – </w:t>
      </w:r>
      <w:r w:rsidR="000A1E97" w:rsidRPr="000A1E97">
        <w:rPr>
          <w:rFonts w:ascii="Times New Roman" w:hAnsi="Times New Roman" w:cs="Times New Roman"/>
          <w:sz w:val="28"/>
        </w:rPr>
        <w:t xml:space="preserve">организации в России специализированной помощи больным </w:t>
      </w:r>
      <w:r w:rsidR="003E1CA7">
        <w:rPr>
          <w:rFonts w:ascii="Times New Roman" w:hAnsi="Times New Roman" w:cs="Times New Roman"/>
          <w:sz w:val="28"/>
        </w:rPr>
        <w:t>уроло</w:t>
      </w:r>
      <w:r w:rsidR="000A1E97" w:rsidRPr="000A1E97">
        <w:rPr>
          <w:rFonts w:ascii="Times New Roman" w:hAnsi="Times New Roman" w:cs="Times New Roman"/>
          <w:sz w:val="28"/>
        </w:rPr>
        <w:t>гическими заболеваниями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современных клинических, лабораторных и инструментальных методов обследования больных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 xml:space="preserve">проведения консервативного и оперативного лечения больных </w:t>
      </w:r>
      <w:r w:rsidR="003E1CA7">
        <w:rPr>
          <w:rFonts w:ascii="Times New Roman" w:hAnsi="Times New Roman" w:cs="Times New Roman"/>
          <w:sz w:val="28"/>
        </w:rPr>
        <w:t>уроло</w:t>
      </w:r>
      <w:r w:rsidR="000A1E97" w:rsidRPr="000A1E97">
        <w:rPr>
          <w:rFonts w:ascii="Times New Roman" w:hAnsi="Times New Roman" w:cs="Times New Roman"/>
          <w:sz w:val="28"/>
        </w:rPr>
        <w:t>гическими заболеваниями</w:t>
      </w:r>
      <w:r>
        <w:rPr>
          <w:rFonts w:ascii="Times New Roman" w:hAnsi="Times New Roman" w:cs="Times New Roman"/>
          <w:sz w:val="28"/>
        </w:rPr>
        <w:t>;</w:t>
      </w:r>
    </w:p>
    <w:p w:rsidR="00221F0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сформировать умения </w:t>
      </w:r>
      <w:r w:rsidR="000A1E97" w:rsidRPr="000A1E97">
        <w:rPr>
          <w:rFonts w:ascii="Times New Roman" w:hAnsi="Times New Roman" w:cs="Times New Roman"/>
          <w:sz w:val="28"/>
        </w:rPr>
        <w:t xml:space="preserve">сбора анамнеза, проведения общеклинического обследования больных с </w:t>
      </w:r>
      <w:r w:rsidR="003E1CA7">
        <w:rPr>
          <w:rFonts w:ascii="Times New Roman" w:hAnsi="Times New Roman" w:cs="Times New Roman"/>
          <w:sz w:val="28"/>
        </w:rPr>
        <w:t>уроло</w:t>
      </w:r>
      <w:r w:rsidR="003E1CA7" w:rsidRPr="000A1E97">
        <w:rPr>
          <w:rFonts w:ascii="Times New Roman" w:hAnsi="Times New Roman" w:cs="Times New Roman"/>
          <w:sz w:val="28"/>
        </w:rPr>
        <w:t>гическими</w:t>
      </w:r>
      <w:r w:rsidR="000A1E97" w:rsidRPr="000A1E97">
        <w:rPr>
          <w:rFonts w:ascii="Times New Roman" w:hAnsi="Times New Roman" w:cs="Times New Roman"/>
          <w:sz w:val="28"/>
        </w:rPr>
        <w:t xml:space="preserve"> заболеваниями, анал</w:t>
      </w:r>
      <w:r w:rsidR="000A1E97">
        <w:rPr>
          <w:rFonts w:ascii="Times New Roman" w:hAnsi="Times New Roman" w:cs="Times New Roman"/>
          <w:sz w:val="28"/>
        </w:rPr>
        <w:t xml:space="preserve">изировать полученные результаты, </w:t>
      </w:r>
      <w:r w:rsidR="000A1E97" w:rsidRPr="000A1E97">
        <w:rPr>
          <w:rFonts w:ascii="Times New Roman" w:hAnsi="Times New Roman" w:cs="Times New Roman"/>
          <w:sz w:val="28"/>
        </w:rPr>
        <w:t xml:space="preserve">проведения дифференциальной диагностики </w:t>
      </w:r>
      <w:r w:rsidR="003E1CA7">
        <w:rPr>
          <w:rFonts w:ascii="Times New Roman" w:hAnsi="Times New Roman" w:cs="Times New Roman"/>
          <w:sz w:val="28"/>
        </w:rPr>
        <w:t>уроло</w:t>
      </w:r>
      <w:r w:rsidR="003E1CA7" w:rsidRPr="000A1E97">
        <w:rPr>
          <w:rFonts w:ascii="Times New Roman" w:hAnsi="Times New Roman" w:cs="Times New Roman"/>
          <w:sz w:val="28"/>
        </w:rPr>
        <w:t>гическими</w:t>
      </w:r>
      <w:r w:rsidR="000A1E97" w:rsidRPr="000A1E97">
        <w:rPr>
          <w:rFonts w:ascii="Times New Roman" w:hAnsi="Times New Roman" w:cs="Times New Roman"/>
          <w:sz w:val="28"/>
        </w:rPr>
        <w:t xml:space="preserve"> заболеваний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использования современных диагностических и лечебных алгоритмов при </w:t>
      </w:r>
      <w:r w:rsidR="003E1CA7">
        <w:rPr>
          <w:rFonts w:ascii="Times New Roman" w:hAnsi="Times New Roman" w:cs="Times New Roman"/>
          <w:sz w:val="28"/>
        </w:rPr>
        <w:t>урологической</w:t>
      </w:r>
      <w:r w:rsidR="000A1E97" w:rsidRPr="000A1E97">
        <w:rPr>
          <w:rFonts w:ascii="Times New Roman" w:hAnsi="Times New Roman" w:cs="Times New Roman"/>
          <w:sz w:val="28"/>
        </w:rPr>
        <w:t xml:space="preserve"> патологии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выполнения наиболее распространенных врачебных манипуляций и практических навыков, предусмотренных учебной программой</w:t>
      </w:r>
      <w:r>
        <w:rPr>
          <w:rFonts w:ascii="Times New Roman" w:hAnsi="Times New Roman" w:cs="Times New Roman"/>
          <w:sz w:val="28"/>
        </w:rPr>
        <w:t>.</w:t>
      </w: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>2. Содержание самостоятельной работы обучающихся.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320B9D">
        <w:rPr>
          <w:rFonts w:ascii="Times New Roman" w:hAnsi="Times New Roman" w:cs="Times New Roman"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76F9E">
        <w:rPr>
          <w:rFonts w:ascii="Times New Roman" w:hAnsi="Times New Roman" w:cs="Times New Roman"/>
          <w:sz w:val="28"/>
        </w:rPr>
        <w:t>, который прикреплен</w:t>
      </w:r>
      <w:r w:rsidR="003E1CA7"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к рабочей программе дисциплины</w:t>
      </w:r>
      <w:r w:rsidR="003E1CA7"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в информационной системе Университета.</w:t>
      </w:r>
    </w:p>
    <w:p w:rsidR="003E1CA7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3E1CA7">
        <w:rPr>
          <w:rFonts w:ascii="Times New Roman" w:hAnsi="Times New Roman" w:cs="Times New Roman"/>
          <w:sz w:val="28"/>
        </w:rPr>
        <w:t>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76F9E">
        <w:rPr>
          <w:rFonts w:ascii="Times New Roman" w:hAnsi="Times New Roman" w:cs="Times New Roman"/>
          <w:sz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763"/>
        <w:gridCol w:w="2393"/>
        <w:gridCol w:w="17"/>
        <w:gridCol w:w="2693"/>
        <w:gridCol w:w="1241"/>
      </w:tblGrid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самостоятельной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контактной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E23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F9E" w:rsidRPr="00E232CC" w:rsidTr="003E1CA7">
        <w:tc>
          <w:tcPr>
            <w:tcW w:w="9571" w:type="dxa"/>
            <w:gridSpan w:val="6"/>
            <w:shd w:val="clear" w:color="auto" w:fill="auto"/>
          </w:tcPr>
          <w:p w:rsidR="00C76F9E" w:rsidRPr="00E232CC" w:rsidRDefault="00C76F9E" w:rsidP="003E1CA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дисциплины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67662D" w:rsidP="009B2CA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Цикл «Урология»</w:t>
            </w:r>
          </w:p>
        </w:tc>
        <w:tc>
          <w:tcPr>
            <w:tcW w:w="2393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C76F9E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нормативными документами; 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задач и упражнений по образцу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FA245A" w:rsidRPr="00E232CC" w:rsidRDefault="00FA245A" w:rsidP="00155BC8">
            <w:pPr>
              <w:spacing w:after="0"/>
              <w:ind w:right="-293" w:firstLine="3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</w:p>
          <w:p w:rsidR="00320B9D" w:rsidRDefault="00320B9D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-собеседование 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творческое задание,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59" w:rsidRPr="00E232C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ерка выполнения объема освоения профессиональных умений (компетенций)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F06159" w:rsidRPr="00E232CC" w:rsidRDefault="00FA245A" w:rsidP="00320B9D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06159" w:rsidRPr="00E232CC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06159" w:rsidRPr="00E232CC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E232CC" w:rsidTr="003E1CA7">
        <w:tc>
          <w:tcPr>
            <w:tcW w:w="9571" w:type="dxa"/>
            <w:gridSpan w:val="6"/>
            <w:shd w:val="clear" w:color="auto" w:fill="auto"/>
          </w:tcPr>
          <w:p w:rsidR="0067662D" w:rsidRPr="00E232CC" w:rsidRDefault="0067662D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62D" w:rsidRPr="00E232CC" w:rsidRDefault="0067662D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62D" w:rsidRPr="00E232CC" w:rsidRDefault="0067662D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F9E" w:rsidRPr="00E232CC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</w:t>
            </w:r>
            <w:r w:rsidR="00EA2383"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рамках практических</w:t>
            </w: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</w:t>
            </w:r>
          </w:p>
          <w:p w:rsidR="00C76F9E" w:rsidRPr="00E232CC" w:rsidRDefault="00C76F9E" w:rsidP="00E236D0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EA2383" w:rsidP="00EA2383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«Симптоматология. Аномалии мочеполовой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BC8" w:rsidRPr="00E232CC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C76F9E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6F9E" w:rsidRPr="00E232CC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</w:p>
          <w:p w:rsidR="00FA245A" w:rsidRPr="00E232CC" w:rsidRDefault="00320B9D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FA245A" w:rsidRPr="00E232CC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Pr="00E232CC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«Симптоматология» (продолжение), «Доброкачественная гиперплазия предстательной железы», «Рак предстательной железы»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C76F9E" w:rsidRPr="00E232CC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46F8B" w:rsidRPr="00E232CC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A245A" w:rsidRPr="00E232CC" w:rsidRDefault="00FA245A" w:rsidP="00FA245A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A245A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273662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«Инструментальные методы обследования и лечения в урологии», «Мочекаменная болезнь (МКБ, </w:t>
            </w:r>
            <w:proofErr w:type="spellStart"/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уролитиаз</w:t>
            </w:r>
            <w:proofErr w:type="spellEnd"/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, нефролитиаз)»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</w:t>
            </w:r>
          </w:p>
          <w:p w:rsidR="00320B9D" w:rsidRPr="00E232CC" w:rsidRDefault="00B10581" w:rsidP="00320B9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таблиц для систематизации </w:t>
            </w:r>
          </w:p>
          <w:p w:rsidR="00320B9D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учебного материал</w:t>
            </w:r>
            <w:r w:rsidR="00320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245A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электронной презентации 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Default="00497A6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320B9D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273662" w:rsidP="00273662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«Лучевая и радиоизотопная диагностика в урологии»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20B9D" w:rsidRPr="00E232CC" w:rsidRDefault="00320B9D" w:rsidP="00320B9D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286044" w:rsidRPr="00E232CC" w:rsidRDefault="00286044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E236D0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67662D" w:rsidP="00273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«Острые воспалительные заболевания органов мочеполовой системы», «</w:t>
            </w:r>
            <w:proofErr w:type="spellStart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Нефрогенная</w:t>
            </w:r>
            <w:proofErr w:type="spellEnd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гипертензия», «Туберкулез органов мочеполовой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320B9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C76F9E" w:rsidRPr="00E232CC" w:rsidRDefault="00B10581" w:rsidP="00B1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286044" w:rsidRPr="00E232CC" w:rsidRDefault="00286044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10581" w:rsidRPr="00E232CC" w:rsidRDefault="00B10581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E236D0" w:rsidRPr="00E232CC" w:rsidTr="003E1CA7">
        <w:tc>
          <w:tcPr>
            <w:tcW w:w="464" w:type="dxa"/>
            <w:shd w:val="clear" w:color="auto" w:fill="auto"/>
          </w:tcPr>
          <w:p w:rsidR="00E236D0" w:rsidRPr="00E232CC" w:rsidRDefault="00E236D0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E236D0" w:rsidRPr="00E232CC" w:rsidRDefault="0067662D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36D0" w:rsidRPr="00E232CC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</w:t>
            </w:r>
          </w:p>
          <w:p w:rsidR="00E236D0" w:rsidRPr="00E232CC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E236D0" w:rsidRPr="00E232CC" w:rsidRDefault="00E236D0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E236D0" w:rsidRPr="00E232CC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модуля,</w:t>
            </w:r>
          </w:p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E236D0" w:rsidRPr="00E232CC" w:rsidRDefault="00E236D0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E236D0" w:rsidRPr="00E232CC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E236D0" w:rsidRPr="00E232CC" w:rsidRDefault="00E236D0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67662D" w:rsidRPr="00E232CC" w:rsidTr="003E1CA7">
        <w:tc>
          <w:tcPr>
            <w:tcW w:w="464" w:type="dxa"/>
            <w:shd w:val="clear" w:color="auto" w:fill="auto"/>
          </w:tcPr>
          <w:p w:rsidR="0067662D" w:rsidRPr="00E232CC" w:rsidRDefault="0067662D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67662D" w:rsidRPr="00E232CC" w:rsidRDefault="0067662D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«Неотложные состояния в урологии», «Травма органов мочеполовой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7662D" w:rsidRPr="00E232CC" w:rsidRDefault="0067662D" w:rsidP="0067662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</w:t>
            </w:r>
          </w:p>
          <w:p w:rsidR="0067662D" w:rsidRPr="00E232CC" w:rsidRDefault="0067662D" w:rsidP="0067662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67662D" w:rsidRPr="00E232CC" w:rsidRDefault="0067662D" w:rsidP="0067662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67662D" w:rsidRPr="00E232CC" w:rsidRDefault="0067662D" w:rsidP="0067662D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</w:t>
            </w:r>
            <w:r w:rsidR="00320B9D">
              <w:rPr>
                <w:rFonts w:ascii="Times New Roman" w:hAnsi="Times New Roman" w:cs="Times New Roman"/>
                <w:sz w:val="24"/>
                <w:szCs w:val="24"/>
              </w:rPr>
              <w:t>ного модуля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7662D" w:rsidRPr="00E232CC" w:rsidRDefault="0067662D" w:rsidP="0067662D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7662D" w:rsidRPr="00E232CC" w:rsidRDefault="0067662D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аудиторная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320B9D" w:rsidRDefault="00320B9D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20B9D" w:rsidRDefault="00320B9D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046F8B" w:rsidRDefault="00046F8B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CC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УКАЗАНИЯ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НАПИСАНИЮ</w:t>
      </w:r>
    </w:p>
    <w:p w:rsidR="00E232CC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РАСШИРЕННОГО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Эпикриз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–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развернутое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врачебное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заболевания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больного.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Больной подробно, по системам органов, осматривается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курации</w:t>
      </w:r>
      <w:proofErr w:type="spell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курации</w:t>
      </w:r>
      <w:proofErr w:type="spell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научиться: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симптоматики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диагноза;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лечебно-профилактических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преподавателя).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литературы).</w:t>
      </w:r>
    </w:p>
    <w:p w:rsidR="00E232CC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(обобщающих)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«Эпикриза» фиксируются только патологические отклонения, которые в последующем будут использованы при обосновании диагноза. Сопутствующие урологическому диагнозу другие заболевания (например, сахарный диабет, артериальная гипертензия и проч.) вносятся в окончательный диагноз. Однако обоснование сопутствующих диагнозов и лечение этих заболеваний в «эпикризе» не приводятся. Этими особенностями «Расширенный эпикриз» отличается от стандартной учебной истории болезни, что позволяет сократить время при написании работы и главным образом выяснить уровень абстрактного, истинно врачебного мышления студента. Кафедра отдает себе отчет в том, что данная форма является по существу более сложной, хотя и освобождает студента от целого ряда малоценных в учебном отношении и почти механических (например, переписывание разделов учебника) этапов окончательного «чистового» оформления работы.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нозологической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курируемому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мочекаменной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курируемый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камнем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консервативно).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16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(даты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зачета).</w:t>
      </w: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пункт.</w:t>
      </w:r>
    </w:p>
    <w:p w:rsidR="00E232CC" w:rsidRDefault="00E232CC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</w:t>
      </w:r>
    </w:p>
    <w:p w:rsidR="0067662D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выписки;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]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– выписки сделаны;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330836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2FEB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330836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A2F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=исходный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</w:t>
      </w:r>
      <w:proofErr w:type="spellStart"/>
      <w:r w:rsidRPr="00046F8B">
        <w:rPr>
          <w:rFonts w:ascii="Times New Roman" w:hAnsi="Times New Roman" w:cs="Times New Roman"/>
          <w:b/>
          <w:sz w:val="28"/>
          <w:szCs w:val="28"/>
        </w:rPr>
        <w:t>обучающимсяпо</w:t>
      </w:r>
      <w:proofErr w:type="spellEnd"/>
      <w:r w:rsidRPr="00046F8B">
        <w:rPr>
          <w:rFonts w:ascii="Times New Roman" w:hAnsi="Times New Roman" w:cs="Times New Roman"/>
          <w:b/>
          <w:sz w:val="28"/>
          <w:szCs w:val="28"/>
        </w:rPr>
        <w:t xml:space="preserve"> подготовке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использоватьклассическую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выступления.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жестами.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предмету ответа;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взгляды, прежний опыт.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окончательный вывод и решение;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B10581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55BC8" w:rsidRPr="00046F8B" w:rsidRDefault="00155BC8" w:rsidP="00B10581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155BC8">
      <w:pPr>
        <w:ind w:firstLine="709"/>
        <w:jc w:val="both"/>
        <w:rPr>
          <w:sz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Доклад –публичное сообщение или документ, которые содержат информацию и отражают суть вопроса или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исследованияприменительно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к данной ситуации.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преподаватель может </w:t>
      </w: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содержания(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выбор информационно-поискового языка запроса в поисковых системах.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сводных (обобщающих)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к составлению граф-схемы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</w:t>
      </w:r>
      <w:r w:rsidRPr="00155BC8">
        <w:rPr>
          <w:rFonts w:ascii="Times New Roman" w:hAnsi="Times New Roman" w:cs="Times New Roman"/>
          <w:sz w:val="28"/>
          <w:szCs w:val="28"/>
        </w:rPr>
        <w:lastRenderedPageBreak/>
        <w:t>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155BC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презентация:демонстрация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:rsidR="00155BC8" w:rsidRPr="00155BC8" w:rsidRDefault="00155BC8" w:rsidP="00155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1) подготовка и согласование с научным руководителем текста доклада;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155BC8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155BC8">
        <w:rPr>
          <w:i/>
          <w:iCs/>
          <w:color w:val="000000"/>
          <w:sz w:val="28"/>
          <w:szCs w:val="28"/>
        </w:rPr>
        <w:lastRenderedPageBreak/>
        <w:t xml:space="preserve">Требования к тексту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разбивайте текстовую информацию на слайды;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Рекомендуется использовать: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синий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черный на желтом,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зеленый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черный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белый на синем,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зеленый на красном,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красный на желтом,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красный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оранжевый на черном,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черный на красном,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оранжевый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красный на зеленом.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Чем </w:t>
      </w:r>
      <w:proofErr w:type="spellStart"/>
      <w:r w:rsidRPr="00155BC8">
        <w:rPr>
          <w:color w:val="000000"/>
          <w:sz w:val="28"/>
          <w:szCs w:val="28"/>
        </w:rPr>
        <w:t>абстрактнее</w:t>
      </w:r>
      <w:proofErr w:type="spellEnd"/>
      <w:r w:rsidRPr="00155BC8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bCs/>
          <w:color w:val="000000"/>
          <w:sz w:val="28"/>
          <w:szCs w:val="28"/>
        </w:rPr>
        <w:t xml:space="preserve">анимацию, </w:t>
      </w:r>
      <w:r w:rsidRPr="00155BC8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bCs/>
          <w:color w:val="000000"/>
          <w:sz w:val="28"/>
          <w:szCs w:val="28"/>
        </w:rPr>
        <w:t>видеоинформацию,</w:t>
      </w:r>
      <w:r w:rsidRPr="00155BC8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55BC8" w:rsidRPr="00155BC8" w:rsidRDefault="00155BC8" w:rsidP="00155BC8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A2383" w:rsidRPr="002C58A6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="00320B9D">
        <w:rPr>
          <w:rFonts w:ascii="Times New Roman" w:hAnsi="Times New Roman" w:cs="Times New Roman"/>
          <w:sz w:val="28"/>
        </w:rPr>
        <w:t xml:space="preserve"> </w:t>
      </w:r>
      <w:r w:rsidRPr="00320B9D">
        <w:rPr>
          <w:rFonts w:ascii="Times New Roman" w:hAnsi="Times New Roman" w:cs="Times New Roman"/>
          <w:sz w:val="28"/>
        </w:rPr>
        <w:t>в фонде оценочных средств для проведения текущего контроля успеваемости и промежуточной аттестации по дисциплине,</w:t>
      </w:r>
      <w:r w:rsidRPr="002C58A6">
        <w:rPr>
          <w:rFonts w:ascii="Times New Roman" w:hAnsi="Times New Roman" w:cs="Times New Roman"/>
          <w:sz w:val="28"/>
        </w:rPr>
        <w:t xml:space="preserve"> который прикреплен</w:t>
      </w:r>
      <w:r w:rsidR="00320B9D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sz w:val="28"/>
        </w:rPr>
        <w:t>к рабочей программе дисциплины</w:t>
      </w:r>
      <w:r w:rsidR="003E1CA7">
        <w:rPr>
          <w:rFonts w:ascii="Times New Roman" w:hAnsi="Times New Roman" w:cs="Times New Roman"/>
          <w:sz w:val="28"/>
        </w:rPr>
        <w:t>.</w:t>
      </w: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A8C"/>
    <w:multiLevelType w:val="hybridMultilevel"/>
    <w:tmpl w:val="0F3E02FE"/>
    <w:lvl w:ilvl="0" w:tplc="0B7845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BD8D322">
      <w:start w:val="1"/>
      <w:numFmt w:val="upperRoman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E69"/>
    <w:multiLevelType w:val="hybridMultilevel"/>
    <w:tmpl w:val="6B1435CE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9"/>
    <w:rsid w:val="00046F8B"/>
    <w:rsid w:val="000A1E97"/>
    <w:rsid w:val="00121069"/>
    <w:rsid w:val="00155BC8"/>
    <w:rsid w:val="001938FF"/>
    <w:rsid w:val="00221F0E"/>
    <w:rsid w:val="00273662"/>
    <w:rsid w:val="00285E3C"/>
    <w:rsid w:val="00286044"/>
    <w:rsid w:val="002C58A6"/>
    <w:rsid w:val="002F34FC"/>
    <w:rsid w:val="00320B9D"/>
    <w:rsid w:val="00330836"/>
    <w:rsid w:val="003D78B9"/>
    <w:rsid w:val="003E1CA7"/>
    <w:rsid w:val="00497A6D"/>
    <w:rsid w:val="004F7B7E"/>
    <w:rsid w:val="00580D86"/>
    <w:rsid w:val="0067662D"/>
    <w:rsid w:val="006B08F8"/>
    <w:rsid w:val="009200C0"/>
    <w:rsid w:val="00967DF0"/>
    <w:rsid w:val="009B2CA1"/>
    <w:rsid w:val="00A06871"/>
    <w:rsid w:val="00B10581"/>
    <w:rsid w:val="00C76F9E"/>
    <w:rsid w:val="00CE76E6"/>
    <w:rsid w:val="00E232CC"/>
    <w:rsid w:val="00E236D0"/>
    <w:rsid w:val="00EA2383"/>
    <w:rsid w:val="00F06159"/>
    <w:rsid w:val="00FA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E4B79"/>
  <w15:docId w15:val="{76DB05FB-52C0-4812-8967-45F4EA56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8A51-BCBA-456C-98EC-91DD67FC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Дэниэль</cp:lastModifiedBy>
  <cp:revision>2</cp:revision>
  <dcterms:created xsi:type="dcterms:W3CDTF">2023-11-01T16:34:00Z</dcterms:created>
  <dcterms:modified xsi:type="dcterms:W3CDTF">2023-11-01T16:34:00Z</dcterms:modified>
</cp:coreProperties>
</file>