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8AD9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b w:val="1"/>
          <w:sz w:val="28"/>
        </w:rPr>
      </w:pPr>
      <w:r>
        <w:rPr>
          <w:b w:val="1"/>
          <w:sz w:val="28"/>
        </w:rPr>
        <w:t>ЗАНЯТИЕ 1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Тема 4.1: «ВАЖНЕЙШИЕ ЛИПИДЫ ТКАНЕЙ ЧЕЛОВЕКА. ПИЩЕВЫЕ ЖИРЫ И ИХ ПЕРЕВАРИВАНИЕ» (УИРС)</w:t>
      </w:r>
    </w:p>
    <w:p>
      <w:pPr>
        <w:jc w:val="center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  <w:u w:val="single"/>
        </w:rPr>
        <w:t>Цель занятия:</w:t>
      </w:r>
      <w:r>
        <w:rPr>
          <w:sz w:val="28"/>
        </w:rPr>
        <w:t xml:space="preserve">  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изучить процессы переваривания липидов;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знать биологическую роль, источники, потребность в липидах;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знать биологический смысл и схему ресинтеза ТАГ;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знать роль желчи в переваривании липидов;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уметь открывать желчные кислоты в желчи;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выяснить опытным путём влияние желчи на активность панкреатической липазы.</w:t>
      </w:r>
    </w:p>
    <w:p>
      <w:pPr>
        <w:jc w:val="both"/>
        <w:rPr>
          <w:sz w:val="28"/>
        </w:rPr>
      </w:pPr>
      <w:r>
        <w:rPr>
          <w:sz w:val="28"/>
          <w:u w:val="single"/>
        </w:rPr>
        <w:t>Необходимый исходный уровень.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Из курса биоорганической химии студенты должны знать:</w:t>
      </w:r>
    </w:p>
    <w:p>
      <w:pPr>
        <w:numPr>
          <w:ilvl w:val="0"/>
          <w:numId w:val="1"/>
        </w:numPr>
        <w:ind w:left="2113"/>
        <w:jc w:val="both"/>
        <w:rPr>
          <w:sz w:val="28"/>
        </w:rPr>
      </w:pPr>
      <w:r>
        <w:rPr>
          <w:sz w:val="28"/>
        </w:rPr>
        <w:t>классификацию липидов;</w:t>
      </w:r>
    </w:p>
    <w:p>
      <w:pPr>
        <w:numPr>
          <w:ilvl w:val="0"/>
          <w:numId w:val="1"/>
        </w:numPr>
        <w:ind w:left="2113"/>
        <w:jc w:val="both"/>
        <w:rPr>
          <w:sz w:val="28"/>
        </w:rPr>
      </w:pPr>
      <w:r>
        <w:rPr>
          <w:sz w:val="28"/>
        </w:rPr>
        <w:t>химическое строение высших жирных кислот (ВЖК), ТАГ, фосфолипидов, холестерола и его эфиров;</w:t>
      </w:r>
    </w:p>
    <w:p>
      <w:pPr>
        <w:numPr>
          <w:ilvl w:val="0"/>
          <w:numId w:val="1"/>
        </w:numPr>
        <w:ind w:left="2113"/>
        <w:jc w:val="both"/>
        <w:rPr>
          <w:sz w:val="28"/>
        </w:rPr>
      </w:pPr>
      <w:r>
        <w:rPr>
          <w:sz w:val="28"/>
        </w:rPr>
        <w:t>химическое строение желчных кислот.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Основные понятия темы: </w:t>
      </w:r>
    </w:p>
    <w:p>
      <w:pPr>
        <w:ind w:left="426"/>
        <w:jc w:val="both"/>
        <w:rPr>
          <w:sz w:val="28"/>
        </w:rPr>
      </w:pPr>
      <w:r>
        <w:rPr>
          <w:sz w:val="28"/>
        </w:rPr>
        <w:t xml:space="preserve">Важнейшие липиды тканей человека. Незаменимые факторы питания липидной природы. Пищевые жиры и их переваривание. Ресинтез ТАГ в стенке кишечника. </w:t>
      </w:r>
    </w:p>
    <w:p>
      <w:pPr>
        <w:jc w:val="center"/>
        <w:rPr>
          <w:sz w:val="28"/>
        </w:rPr>
      </w:pP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Липиды, физиологическая роль, источники, потребность в липидах.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Переваривание и всасывание липидов. Условия, необходимые для переваривания и всасывания липидов в желудочно-кишечном тракте.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Желчные кислоты – первичные и вторичные. Коньюгированные желчные кислоты и их роль в переваривании и всасывании липидов.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Ресинтез ТАГ в стенке кишечника.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Транспорт липидов экзогенного происхождения. Хиломикроны: химический состав, структура, биологическая роль, метаболизм. Липопротеинлипаза крови, её биологическая роль.</w:t>
      </w:r>
    </w:p>
    <w:p>
      <w:pPr>
        <w:rPr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pStyle w:val="P1"/>
        <w:rPr>
          <w:sz w:val="28"/>
        </w:rPr>
      </w:pPr>
      <w:r>
        <w:rPr>
          <w:b w:val="1"/>
          <w:sz w:val="28"/>
        </w:rPr>
        <w:t>Лабораторная работа 1</w:t>
      </w:r>
      <w:r>
        <w:rPr>
          <w:sz w:val="28"/>
        </w:rPr>
        <w:t xml:space="preserve"> </w:t>
      </w:r>
    </w:p>
    <w:p>
      <w:pPr>
        <w:pStyle w:val="P1"/>
        <w:rPr>
          <w:b w:val="1"/>
          <w:sz w:val="28"/>
        </w:rPr>
      </w:pPr>
      <w:r>
        <w:rPr>
          <w:sz w:val="28"/>
        </w:rPr>
        <w:t>“</w:t>
      </w:r>
      <w:r>
        <w:rPr>
          <w:b w:val="1"/>
          <w:sz w:val="28"/>
        </w:rPr>
        <w:t>Качественная реакция на желчные кислоты – реакция Петтенкофера”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Принцип метода: </w:t>
      </w:r>
      <w:r>
        <w:rPr>
          <w:sz w:val="28"/>
        </w:rPr>
        <w:t>реакция основана на взаимодействии холевой кислоты с оксиметилфурфуролом, образующимся из сахарозы под действием концентрированной серной кислоты. При этом развивается характерное красно-фиолетовое окрашивание.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Ход работы: </w:t>
      </w:r>
      <w:r>
        <w:rPr>
          <w:sz w:val="28"/>
        </w:rPr>
        <w:t>в сухую пробирку вносят 4 капли желчи, 4 капли 20% р-ра сахарозы, тщательно перемешивают и осторожно приливают 0,5 мл конц. серной кислоты. После перемешивания, через 2-3 минуты, наблюдается красная окраска, которая при стоянии переходит в красно-фиолетовую.</w:t>
      </w:r>
    </w:p>
    <w:p>
      <w:pPr>
        <w:pStyle w:val="P3"/>
        <w:jc w:val="left"/>
        <w:rPr>
          <w:sz w:val="28"/>
        </w:rPr>
      </w:pPr>
      <w:r>
        <w:rPr>
          <w:sz w:val="28"/>
          <w:u w:val="single"/>
        </w:rPr>
        <w:t xml:space="preserve">Результат: </w:t>
      </w:r>
      <w:r>
        <w:rPr>
          <w:sz w:val="28"/>
        </w:rPr>
        <w:t xml:space="preserve"> </w:t>
      </w:r>
    </w:p>
    <w:p>
      <w:pPr>
        <w:pStyle w:val="P3"/>
        <w:jc w:val="left"/>
        <w:rPr>
          <w:sz w:val="28"/>
        </w:rPr>
      </w:pPr>
    </w:p>
    <w:p>
      <w:pPr>
        <w:pStyle w:val="P3"/>
        <w:jc w:val="left"/>
        <w:rPr>
          <w:sz w:val="28"/>
        </w:rPr>
      </w:pPr>
    </w:p>
    <w:p>
      <w:pPr>
        <w:pStyle w:val="P3"/>
        <w:jc w:val="left"/>
        <w:rPr>
          <w:sz w:val="28"/>
        </w:rPr>
      </w:pPr>
      <w:r>
        <w:rPr>
          <w:sz w:val="28"/>
          <w:u w:val="single"/>
        </w:rPr>
        <w:t>Вывод:</w:t>
      </w:r>
      <w:r>
        <w:rPr>
          <w:sz w:val="28"/>
        </w:rPr>
        <w:t xml:space="preserve"> </w:t>
      </w:r>
    </w:p>
    <w:p>
      <w:pPr>
        <w:pStyle w:val="P3"/>
        <w:jc w:val="left"/>
        <w:rPr>
          <w:sz w:val="28"/>
        </w:rPr>
      </w:pPr>
    </w:p>
    <w:p>
      <w:pPr>
        <w:pStyle w:val="P3"/>
        <w:jc w:val="left"/>
        <w:rPr>
          <w:sz w:val="28"/>
        </w:rPr>
      </w:pP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Лабораторная работа 2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 xml:space="preserve">“Роль желчи в переваривании ТАГ молока 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панкреатической липазой”</w:t>
      </w:r>
    </w:p>
    <w:p>
      <w:pPr>
        <w:ind w:firstLine="709"/>
        <w:jc w:val="both"/>
        <w:rPr>
          <w:sz w:val="28"/>
        </w:rPr>
      </w:pPr>
      <w:r>
        <w:rPr>
          <w:sz w:val="28"/>
          <w:u w:val="single"/>
        </w:rPr>
        <w:t>Принцип метода:</w:t>
      </w:r>
      <w:r>
        <w:rPr>
          <w:sz w:val="28"/>
        </w:rPr>
        <w:t xml:space="preserve"> скорость гидролитического расщепления нейтрального жира липазой определяется по нарастанию количества свободных жирных кислот при действии на жиры фермента α-липазы. Количество жирных кислот определяют титрометрическим методом.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Химизм реакции: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     </w:t>
      </w:r>
      <w:r>
        <w:drawing>
          <wp:inline xmlns:wp="http://schemas.openxmlformats.org/drawingml/2006/wordprocessingDrawing">
            <wp:extent cx="4350385" cy="20447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204470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ind w:firstLine="720"/>
        <w:jc w:val="both"/>
        <w:rPr>
          <w:sz w:val="28"/>
        </w:rPr>
      </w:pPr>
      <w:r>
        <w:rPr>
          <w:sz w:val="28"/>
          <w:u w:val="single"/>
        </w:rPr>
        <w:t>Ход работы:</w:t>
      </w:r>
      <w:r>
        <w:rPr>
          <w:sz w:val="28"/>
        </w:rPr>
        <w:t xml:space="preserve"> В 3 стаканчика наливают по 10 мл прокипяченного молока. В стаканчик №1 и 2 добавляют по 0,5 мл нейтральной желчи, в стаканчик №3 – 0,5 мл воды. Во все стаканчики добавляют по 2 капли фенолфталеина и оттитровывают 0,1 N раствором NaOH имеющиеся свободные жирные кислоты, титруя до слаборозовой окраски, результаты титрования не учитывают, кислотность в пробах выводят на 0.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После этого в стаканчики №1 и №3 вносят по 0,5 г панкреатина, смесь тщательно перемешивают и оставляют при комнатной температуре на 15 мин. Через 15 мин инкубации содержимое всех стаканчиков титруют 0,1 N раствором NaOH до слаборозового окрашивания. Результаты записывают. Оставляют стаканчики ещё на 15 мин и снова титруют щелочью. Результаты второго титрования суммируют с результатом первого титрования при построении графика.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Процесс гидролиза жира изобразить графически для всех трех проб, для чего на оси абсцисс откладывают время инкубации, на оси ординат – количество мл щелочи, пошедшее на титрование.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Количество израсходованной на титрование щелочи фиксировать в таблице.</w:t>
      </w:r>
    </w:p>
    <w:p>
      <w:pPr>
        <w:jc w:val="right"/>
        <w:rPr>
          <w:sz w:val="28"/>
        </w:rPr>
      </w:pPr>
      <w:r>
        <w:rPr>
          <w:sz w:val="28"/>
        </w:rPr>
        <w:t>Таблица 1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Гидролиз жира молока липазой</w:t>
      </w:r>
    </w:p>
    <w:tbl>
      <w:tblPr>
        <w:tblW w:w="0" w:type="auto"/>
        <w:tblBorders>
          <w:top w:val="single" w:sz="6" w:space="0" w:shadow="0" w:frame="0" w:color="auto"/>
          <w:left w:val="single" w:sz="6" w:space="0" w:shadow="0" w:frame="0" w:color="auto"/>
          <w:bottom w:val="single" w:sz="6" w:space="0" w:shadow="0" w:frame="0" w:color="auto"/>
          <w:right w:val="single" w:sz="6" w:space="0" w:shadow="0" w:frame="0" w:color="auto"/>
          <w:insideH w:val="single" w:sz="6" w:space="0" w:shadow="0" w:frame="0" w:color="auto"/>
          <w:insideV w:val="single" w:sz="6" w:space="0" w:shadow="0" w:frame="0" w:color="auto"/>
        </w:tblBorders>
        <w:tblLayout w:type="fixed"/>
      </w:tblPr>
      <w:tblGrid/>
      <w:tr>
        <w:tblPrEx>
          <w:tblCellMar>
            <w:top w:w="0" w:type="dxa"/>
            <w:bottom w:w="0" w:type="dxa"/>
          </w:tblCellMar>
        </w:tblPrEx>
        <w:trPr>
          <w:cantSplit/>
          <w:trHeight w:hRule="atLeast" w:val="322"/>
        </w:trPr>
        <w:tc>
          <w:tcPr>
            <w:tcW w:w="959" w:type="dxa"/>
            <w:tcBorders>
              <w:bottom w:val="nil"/>
            </w:tcBorders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Субстрат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Активатор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Вода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Фермент</w:t>
            </w:r>
          </w:p>
        </w:tc>
        <w:tc>
          <w:tcPr>
            <w:tcW w:w="2551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NaOH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atLeast" w:val="220"/>
        </w:trPr>
        <w:tc>
          <w:tcPr>
            <w:tcW w:w="959" w:type="dxa"/>
            <w:tcBorders>
              <w:top w:val="nil"/>
            </w:tcBorders>
          </w:tcPr>
          <w:p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пробы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(жир молока),  мл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(желчь), мл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 xml:space="preserve">(панкреатин), 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ч/з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мин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ч/з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30 мин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4" w:type="dxa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jc w:val="both"/>
              <w:rPr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134" w:type="dxa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jc w:val="both"/>
              <w:rPr>
                <w:sz w:val="2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4" w:type="dxa"/>
          </w:tcPr>
          <w:p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jc w:val="both"/>
              <w:rPr>
                <w:sz w:val="28"/>
              </w:rPr>
            </w:pPr>
          </w:p>
        </w:tc>
      </w:tr>
    </w:tbl>
    <w:p>
      <w:pPr>
        <w:jc w:val="both"/>
        <w:rPr>
          <w:sz w:val="28"/>
        </w:rPr>
      </w:pPr>
    </w:p>
    <w:p>
      <w:pPr>
        <w:jc w:val="both"/>
        <w:rPr>
          <w:sz w:val="28"/>
          <w:u w:val="single"/>
        </w:rPr>
      </w:pPr>
      <w:r>
        <w:drawing>
          <wp:inline xmlns:wp="http://schemas.openxmlformats.org/drawingml/2006/wordprocessingDrawing">
            <wp:extent cx="5563235" cy="429133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429133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jc w:val="both"/>
        <w:rPr>
          <w:sz w:val="28"/>
        </w:rPr>
      </w:pPr>
      <w:r>
        <w:rPr>
          <w:sz w:val="28"/>
          <w:u w:val="single"/>
        </w:rPr>
        <w:t>Вывод:</w:t>
      </w:r>
      <w:r>
        <w:rPr>
          <w:sz w:val="28"/>
        </w:rPr>
        <w:t xml:space="preserve"> 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numPr>
          <w:ilvl w:val="0"/>
          <w:numId w:val="3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Повторить классификацию липидов, химическое строение ТАГ, фосфолипидов, холестерола и его эфиров.</w:t>
      </w:r>
    </w:p>
    <w:p>
      <w:pPr>
        <w:numPr>
          <w:ilvl w:val="0"/>
          <w:numId w:val="3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Написать формулы первичных и вторичных конъюгированных желчных кислот.</w:t>
      </w:r>
    </w:p>
    <w:p>
      <w:pPr>
        <w:numPr>
          <w:ilvl w:val="0"/>
          <w:numId w:val="3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Изобразить в виде схемы структуру мицеллы.</w:t>
      </w:r>
    </w:p>
    <w:p>
      <w:pPr>
        <w:numPr>
          <w:ilvl w:val="0"/>
          <w:numId w:val="3"/>
        </w:numPr>
        <w:tabs>
          <w:tab w:val="left" w:pos="720" w:leader="none"/>
        </w:tabs>
        <w:jc w:val="both"/>
        <w:rPr>
          <w:sz w:val="28"/>
        </w:rPr>
      </w:pPr>
      <w:r>
        <w:rPr>
          <w:sz w:val="28"/>
        </w:rPr>
        <w:t>Написать структурные формулы стеаропальмитоолеина, фосфатидилхолина, фосфатидилсерина, фосфатидилэтаноламина.</w:t>
      </w:r>
    </w:p>
    <w:p>
      <w:pPr>
        <w:jc w:val="both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5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1.Биологическая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4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4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4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pPr>
        <w:pStyle w:val="P1"/>
        <w:rPr>
          <w:b w:val="1"/>
          <w:sz w:val="28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decimal"/>
      <w:suff w:val="tab"/>
      <w:lvlText w:val="*"/>
      <w:lvlJc w:val="left"/>
      <w:pPr/>
      <w:rPr/>
    </w:lvl>
    <w:lvl w:ilvl="1" w:tplc="35464367">
      <w:start w:val="1"/>
      <w:numFmt w:val="decimal"/>
      <w:suff w:val="tab"/>
      <w:lvlText w:val="%1."/>
      <w:lvlJc w:val="left"/>
      <w:pPr/>
      <w:rPr/>
    </w:lvl>
    <w:lvl w:ilvl="2" w:tplc="6F67D83D">
      <w:start w:val="1"/>
      <w:numFmt w:val="decimal"/>
      <w:suff w:val="tab"/>
      <w:lvlText w:val="%1."/>
      <w:lvlJc w:val="left"/>
      <w:pPr/>
      <w:rPr/>
    </w:lvl>
    <w:lvl w:ilvl="3" w:tplc="615E2CCE">
      <w:start w:val="1"/>
      <w:numFmt w:val="decimal"/>
      <w:suff w:val="tab"/>
      <w:lvlText w:val="%1."/>
      <w:lvlJc w:val="left"/>
      <w:pPr/>
      <w:rPr/>
    </w:lvl>
    <w:lvl w:ilvl="4" w:tplc="665DE50A">
      <w:start w:val="1"/>
      <w:numFmt w:val="decimal"/>
      <w:suff w:val="tab"/>
      <w:lvlText w:val="%1."/>
      <w:lvlJc w:val="left"/>
      <w:pPr/>
      <w:rPr/>
    </w:lvl>
    <w:lvl w:ilvl="5" w:tplc="5094D896">
      <w:start w:val="1"/>
      <w:numFmt w:val="decimal"/>
      <w:suff w:val="tab"/>
      <w:lvlText w:val="%1."/>
      <w:lvlJc w:val="left"/>
      <w:pPr/>
      <w:rPr/>
    </w:lvl>
    <w:lvl w:ilvl="6" w:tplc="58295B69">
      <w:start w:val="1"/>
      <w:numFmt w:val="decimal"/>
      <w:suff w:val="tab"/>
      <w:lvlText w:val="%1."/>
      <w:lvlJc w:val="left"/>
      <w:pPr/>
      <w:rPr/>
    </w:lvl>
    <w:lvl w:ilvl="7" w:tplc="3CA0B40D">
      <w:start w:val="1"/>
      <w:numFmt w:val="decimal"/>
      <w:suff w:val="tab"/>
      <w:lvlText w:val="%1."/>
      <w:lvlJc w:val="left"/>
      <w:pPr/>
      <w:rPr/>
    </w:lvl>
    <w:lvl w:ilvl="8" w:tplc="63F15FDD">
      <w:start w:val="1"/>
      <w:numFmt w:val="decimal"/>
      <w:suff w:val="tab"/>
      <w:lvlText w:val="%1."/>
      <w:lvlJc w:val="left"/>
      <w:pPr/>
      <w:rPr/>
    </w:lvl>
  </w:abstractNum>
  <w:abstractNum w:abstractNumId="1">
    <w:nsid w:val="1B9276B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8FB5C7E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2EBE6AAB"/>
    <w:multiLevelType w:val="hybridMultilevel"/>
    <w:lvl w:ilvl="0">
      <w:start w:val="1"/>
      <w:numFmt w:val="decimal"/>
      <w:suff w:val="tab"/>
      <w:lvlText w:val="%1."/>
      <w:legacy w:legacy="1" w:legacyIndent="360" w:legacySpace="0"/>
      <w:lvlJc w:val="left"/>
      <w:pPr>
        <w:ind w:hanging="360" w:left="360"/>
      </w:pPr>
      <w:rPr/>
    </w:lvl>
    <w:lvl w:ilvl="1" w:tplc="0065EA8B">
      <w:start w:val="1"/>
      <w:numFmt w:val="decimal"/>
      <w:suff w:val="tab"/>
      <w:lvlText w:val="%1."/>
      <w:lvlJc w:val="left"/>
      <w:pPr/>
      <w:rPr/>
    </w:lvl>
    <w:lvl w:ilvl="2" w:tplc="3AC9C046">
      <w:start w:val="1"/>
      <w:numFmt w:val="decimal"/>
      <w:suff w:val="tab"/>
      <w:lvlText w:val="%1."/>
      <w:lvlJc w:val="left"/>
      <w:pPr/>
      <w:rPr/>
    </w:lvl>
    <w:lvl w:ilvl="3" w:tplc="0EB1F191">
      <w:start w:val="1"/>
      <w:numFmt w:val="decimal"/>
      <w:suff w:val="tab"/>
      <w:lvlText w:val="%1."/>
      <w:lvlJc w:val="left"/>
      <w:pPr/>
      <w:rPr/>
    </w:lvl>
    <w:lvl w:ilvl="4" w:tplc="070BF05D">
      <w:start w:val="1"/>
      <w:numFmt w:val="decimal"/>
      <w:suff w:val="tab"/>
      <w:lvlText w:val="%1."/>
      <w:lvlJc w:val="left"/>
      <w:pPr/>
      <w:rPr/>
    </w:lvl>
    <w:lvl w:ilvl="5" w:tplc="220B1BD5">
      <w:start w:val="1"/>
      <w:numFmt w:val="decimal"/>
      <w:suff w:val="tab"/>
      <w:lvlText w:val="%1."/>
      <w:lvlJc w:val="left"/>
      <w:pPr/>
      <w:rPr/>
    </w:lvl>
    <w:lvl w:ilvl="6" w:tplc="0D00F068">
      <w:start w:val="1"/>
      <w:numFmt w:val="decimal"/>
      <w:suff w:val="tab"/>
      <w:lvlText w:val="%1."/>
      <w:lvlJc w:val="left"/>
      <w:pPr/>
      <w:rPr/>
    </w:lvl>
    <w:lvl w:ilvl="7" w:tplc="4C97F7F3">
      <w:start w:val="1"/>
      <w:numFmt w:val="decimal"/>
      <w:suff w:val="tab"/>
      <w:lvlText w:val="%1."/>
      <w:lvlJc w:val="left"/>
      <w:pPr/>
      <w:rPr/>
    </w:lvl>
    <w:lvl w:ilvl="8" w:tplc="7F0489C2">
      <w:start w:val="1"/>
      <w:numFmt w:val="decimal"/>
      <w:suff w:val="tab"/>
      <w:lvlText w:val="%1."/>
      <w:lvlJc w:val="left"/>
      <w:pPr/>
      <w:rPr/>
    </w:lvl>
  </w:abstractNum>
  <w:abstractNum w:abstractNumId="4">
    <w:nsid w:val="76086485"/>
    <w:multiLevelType w:val="hybridMultilevel"/>
    <w:lvl w:ilvl="0">
      <w:start w:val="1"/>
      <w:numFmt w:val="upperRoman"/>
      <w:suff w:val="tab"/>
      <w:lvlText w:val="%1."/>
      <w:legacy w:legacy="1" w:legacyIndent="720" w:legacySpace="0"/>
      <w:lvlJc w:val="left"/>
      <w:pPr>
        <w:ind w:hanging="720" w:left="720"/>
      </w:pPr>
      <w:rPr/>
    </w:lvl>
    <w:lvl w:ilvl="1" w:tplc="38537277">
      <w:start w:val="1"/>
      <w:numFmt w:val="decimal"/>
      <w:suff w:val="tab"/>
      <w:lvlText w:val="%1."/>
      <w:lvlJc w:val="left"/>
      <w:pPr/>
      <w:rPr/>
    </w:lvl>
    <w:lvl w:ilvl="2" w:tplc="73A11BA2">
      <w:start w:val="1"/>
      <w:numFmt w:val="decimal"/>
      <w:suff w:val="tab"/>
      <w:lvlText w:val="%1."/>
      <w:lvlJc w:val="left"/>
      <w:pPr/>
      <w:rPr/>
    </w:lvl>
    <w:lvl w:ilvl="3" w:tplc="08B136A6">
      <w:start w:val="1"/>
      <w:numFmt w:val="decimal"/>
      <w:suff w:val="tab"/>
      <w:lvlText w:val="%1."/>
      <w:lvlJc w:val="left"/>
      <w:pPr/>
      <w:rPr/>
    </w:lvl>
    <w:lvl w:ilvl="4" w:tplc="74E4AAAB">
      <w:start w:val="1"/>
      <w:numFmt w:val="decimal"/>
      <w:suff w:val="tab"/>
      <w:lvlText w:val="%1."/>
      <w:lvlJc w:val="left"/>
      <w:pPr/>
      <w:rPr/>
    </w:lvl>
    <w:lvl w:ilvl="5" w:tplc="351CAD83">
      <w:start w:val="1"/>
      <w:numFmt w:val="decimal"/>
      <w:suff w:val="tab"/>
      <w:lvlText w:val="%1."/>
      <w:lvlJc w:val="left"/>
      <w:pPr/>
      <w:rPr/>
    </w:lvl>
    <w:lvl w:ilvl="6" w:tplc="2E2E5B4C">
      <w:start w:val="1"/>
      <w:numFmt w:val="decimal"/>
      <w:suff w:val="tab"/>
      <w:lvlText w:val="%1."/>
      <w:lvlJc w:val="left"/>
      <w:pPr/>
      <w:rPr/>
    </w:lvl>
    <w:lvl w:ilvl="7" w:tplc="6AEEE976">
      <w:start w:val="1"/>
      <w:numFmt w:val="decimal"/>
      <w:suff w:val="tab"/>
      <w:lvlText w:val="%1."/>
      <w:lvlJc w:val="left"/>
      <w:pPr/>
      <w:rPr/>
    </w:lvl>
    <w:lvl w:ilvl="8" w:tplc="7D628488">
      <w:start w:val="1"/>
      <w:numFmt w:val="decimal"/>
      <w:suff w:val="tab"/>
      <w:lvlText w:val="%1."/>
      <w:lvlJc w:val="left"/>
      <w:pPr/>
      <w:rPr/>
    </w:lvl>
  </w:abstractNum>
  <w:num w:numId="1">
    <w:abstractNumId w:val="0"/>
    <w:lvlOverride w:ilvl="0">
      <w:lvl w:ilvl="0">
        <w:start w:val="1"/>
        <w:numFmt w:val="bullet"/>
        <w:suff w:val="tab"/>
        <w:lvlText w:val=""/>
        <w:legacy w:legacy="1" w:legacyIndent="283" w:legacySpace="0"/>
        <w:lvlJc w:val="left"/>
        <w:pPr>
          <w:ind w:hanging="283" w:left="1701"/>
        </w:pPr>
        <w:rPr>
          <w:rFonts w:ascii="Wingdings" w:hAnsi="Wingdings"/>
          <w:b w:val="0"/>
          <w:i w:val="0"/>
          <w:sz w:val="24"/>
          <w:u w:val="none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paragraph" w:styleId="P3">
    <w:name w:val="Body Text 2"/>
    <w:basedOn w:val="P0"/>
    <w:pPr>
      <w:jc w:val="center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wmf" /><Relationship Id="Relimage2" Type="http://schemas.openxmlformats.org/officeDocument/2006/relationships/image" Target="/media/image2.w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