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93F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ЗАНЯТИЕ 1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Тема 6.1 «МЕХАНИЗМЫ ГОРМОНАЛЬНОЙ РЕГУЛЯЦИИ ОБМЕНА ВЕЩЕСТВ. ГОРМОНЫ МОЗГОВОГО СЛОЯ НАДПОЧЕЧНИКОВ И ПОДЖЕЛУДОЧНОЙ ЖЕЛЕЗЫ»</w:t>
      </w:r>
    </w:p>
    <w:p>
      <w:pPr>
        <w:pStyle w:val="P3"/>
        <w:ind w:hanging="2127" w:left="2127"/>
        <w:jc w:val="both"/>
        <w:rPr>
          <w:b w:val="1"/>
          <w:sz w:val="28"/>
        </w:rPr>
      </w:pPr>
    </w:p>
    <w:p>
      <w:pPr>
        <w:pStyle w:val="P3"/>
        <w:ind w:hanging="2127" w:left="2127"/>
        <w:jc w:val="both"/>
        <w:rPr>
          <w:sz w:val="28"/>
        </w:rPr>
      </w:pPr>
      <w:r>
        <w:rPr>
          <w:sz w:val="28"/>
          <w:u w:val="single"/>
        </w:rPr>
        <w:t>Обоснование темы</w:t>
      </w:r>
      <w:r>
        <w:rPr>
          <w:sz w:val="28"/>
        </w:rPr>
        <w:t>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Изучение механизмов гормональной регуляции метаболизма имеет большое значение для медицины. Избыток, или недостаток синтеза определенного гормона, дефект рецептора, белков-мессенжеров, лежит в основе эндокринных заболеваний. Основой правильного диагноза и, соответственно, правильного лечения болезни служит понимание молекулярных механизмов происходящих в организме больного патофизиологических процессов. Зная общие аспекты действия гормонов, их биологические эффекты, можно выявить синдромы эндокринных заболеваний, обусловленных дисбалансом гормонов, и назначить эффективное лечение. Важна роль в организме гормонов симпатоадреналовой системы: именно они обеспечивают адаптацию к острым и хроническим стрессам. Инсулин – гормон поджелудочной железы, первым из пептидных горомонов был получен в очищенном виде, синтезирован как химическим путем, так и методами генной инженерии. При этом инсулин имеет важное значение как медикаментозное средство, поскольку около 5% населения развитых стран страдают сахарным диабетом I типа и примерно столько же людей предрасположены к этой болезни. В основе сахарного диабета лежит нарушение регулируюшего эффекта инсулина, связанное с его недостатком, либо с устойчивостью к его эффектам. Глюкагон, действию которого в этой ситуации ничто не препятствует, усиливает проявление болезни. </w:t>
      </w:r>
    </w:p>
    <w:p>
      <w:pPr>
        <w:pStyle w:val="P3"/>
        <w:jc w:val="both"/>
        <w:rPr>
          <w:b w:val="1"/>
          <w:i w:val="1"/>
          <w:sz w:val="28"/>
          <w:u w:val="single"/>
        </w:rPr>
      </w:pPr>
    </w:p>
    <w:p>
      <w:pPr>
        <w:pStyle w:val="P3"/>
        <w:jc w:val="both"/>
        <w:rPr>
          <w:b w:val="1"/>
          <w:i w:val="1"/>
          <w:sz w:val="28"/>
          <w:u w:val="single"/>
        </w:rPr>
      </w:pP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</w:t>
      </w:r>
    </w:p>
    <w:p>
      <w:pPr>
        <w:pStyle w:val="P3"/>
        <w:jc w:val="both"/>
        <w:rPr>
          <w:sz w:val="28"/>
        </w:rPr>
      </w:pPr>
      <w:r>
        <w:rPr>
          <w:sz w:val="28"/>
        </w:rPr>
        <w:t>1. Знать определение гормонов, их классификацию, общие свойства; механизм действия гормонов:</w:t>
      </w:r>
    </w:p>
    <w:p>
      <w:pPr>
        <w:pStyle w:val="P3"/>
        <w:ind w:left="2460"/>
        <w:jc w:val="both"/>
        <w:rPr>
          <w:sz w:val="28"/>
        </w:rPr>
      </w:pPr>
      <w:r>
        <w:rPr>
          <w:sz w:val="28"/>
        </w:rPr>
        <w:t>а) мембранно-внутриклеточный;</w:t>
      </w:r>
    </w:p>
    <w:p>
      <w:pPr>
        <w:pStyle w:val="P3"/>
        <w:ind w:left="2460"/>
        <w:jc w:val="both"/>
        <w:rPr>
          <w:sz w:val="28"/>
        </w:rPr>
      </w:pPr>
      <w:r>
        <w:rPr>
          <w:sz w:val="28"/>
        </w:rPr>
        <w:t>б) цитозольный;</w:t>
      </w:r>
    </w:p>
    <w:p>
      <w:pPr>
        <w:pStyle w:val="P3"/>
        <w:jc w:val="both"/>
        <w:rPr>
          <w:sz w:val="28"/>
        </w:rPr>
      </w:pPr>
      <w:r>
        <w:rPr>
          <w:sz w:val="28"/>
        </w:rPr>
        <w:t>2. Знать метаболическое действие гормонов: адреналина, инсулина, глюкагона.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3. Уметь решать ситуационные задачи по данной теме.</w:t>
      </w: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Из курса биоорганической химии студенты должны знать: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физико-химические свойства белков и стероидов;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химическое строение адреналина;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строение цАМФ;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Из курса физиологии: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общие принципы механизма синтеза, секреции гормонов;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принцип обратной связи в регуляции гормональной секреции.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Классификация гормонов по химическому строению и биологическим функциям. Клетки - мишени. Клкточные рецепторы. Механизмы передачи гормональных сигналов в клетку. Синтез и секреция гормонов поджелудочной железы и мозгового слоя надпочечников и их метаболические эффекты. </w:t>
      </w:r>
    </w:p>
    <w:p>
      <w:pPr>
        <w:pStyle w:val="P3"/>
        <w:rPr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Понятие о гормонах и эндокринных железах.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Химическая природа гормонов. Классификация. Общие свойства гормонов.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Общие принципы механизма синтеза и секреции. Рилизинг – гормоны, тропные гормоны (АКТГ, ТТГ, СТГ и др.).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Транспорт гормонов кровью. Органы – мишени, понятие о рецепторах гормонов и их характеристика.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Механизм действия гормонов:  а) мембранно-внутриклеточный;</w:t>
      </w:r>
    </w:p>
    <w:p>
      <w:pPr>
        <w:pStyle w:val="P3"/>
        <w:jc w:val="both"/>
        <w:rPr>
          <w:sz w:val="28"/>
        </w:rPr>
      </w:pPr>
      <w:r>
        <w:rPr>
          <w:sz w:val="28"/>
        </w:rPr>
        <w:t xml:space="preserve">                                                            б) цитозольный.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Аденилатциклазная и гуанилатциклазная системы, роль циклических нуклеотидов в передаче гормонального сигнала в клетку.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ионов кальция и метаболитов фосфолипидов в процессах гормональной регуляции.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Гормоны поджелудочной железы: инсулин, глюкагон. Химическая природа, механизм действия, метаболические эффекты в органах - мишенях.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Изменение гормонального статуса и метаболизма при сахарном диабете. Поздние осложнения сахарного диабета.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Гормоны мозгового слоя надпочечников: адреналин, норадреналин. Биосинтез, механизм действия, влияние на обмен веществ (углеводов, липидов). Катаболизм адреналина.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МЕТОДИЧЕСКИЕ УКАЗАНИЯ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К ПРАКТИЧЕСКОЙ ЧАСТИ ЗАНЯТИЯ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«Цветные реакции на инсулин»</w:t>
      </w:r>
    </w:p>
    <w:p>
      <w:pPr>
        <w:pStyle w:val="P3"/>
        <w:tabs>
          <w:tab w:val="left" w:pos="2460" w:leader="none"/>
        </w:tabs>
        <w:jc w:val="left"/>
        <w:rPr>
          <w:b w:val="1"/>
          <w:sz w:val="28"/>
        </w:rPr>
      </w:pPr>
      <w:r>
        <w:rPr>
          <w:b w:val="1"/>
          <w:sz w:val="28"/>
        </w:rPr>
        <w:t xml:space="preserve"> а) Биуретовая реакция 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</w:t>
      </w:r>
      <w:r>
        <w:rPr>
          <w:sz w:val="28"/>
        </w:rPr>
        <w:t>: при добавлении к щелочному раствору инсулина сернокислой меди жидкость приобретает красно-фиолетовое или сине-фиолетовое окрашивание. Реакция обусловлена присутствием в инсулине пептидных связей, которые с ионами меди образуют окрашенные солеобразные комплексные соединения.</w:t>
      </w:r>
    </w:p>
    <w:p>
      <w:pPr>
        <w:pStyle w:val="P3"/>
        <w:tabs>
          <w:tab w:val="left" w:pos="2460" w:leader="none"/>
        </w:tabs>
        <w:ind w:firstLine="709"/>
        <w:jc w:val="left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к 5 каплям инсулина прибавляют 5 капель 10 % Na ОН и 1 каплю 1% раствора CuSO</w:t>
      </w:r>
      <w:r>
        <w:rPr>
          <w:sz w:val="28"/>
          <w:vertAlign w:val="subscript"/>
        </w:rPr>
        <w:t>4</w:t>
      </w:r>
      <w:r>
        <w:rPr>
          <w:sz w:val="28"/>
        </w:rPr>
        <w:t>.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</w:p>
    <w:p>
      <w:pPr>
        <w:pStyle w:val="P3"/>
        <w:tabs>
          <w:tab w:val="left" w:pos="2460" w:leader="none"/>
        </w:tabs>
        <w:jc w:val="left"/>
        <w:rPr>
          <w:sz w:val="28"/>
        </w:rPr>
      </w:pPr>
      <w:r>
        <w:rPr>
          <w:sz w:val="28"/>
          <w:u w:val="single"/>
        </w:rPr>
        <w:t>Вывод:</w:t>
      </w:r>
    </w:p>
    <w:p>
      <w:pPr>
        <w:pStyle w:val="P3"/>
        <w:tabs>
          <w:tab w:val="left" w:pos="2460" w:leader="none"/>
        </w:tabs>
        <w:jc w:val="left"/>
        <w:rPr>
          <w:b w:val="1"/>
          <w:sz w:val="28"/>
        </w:rPr>
      </w:pPr>
    </w:p>
    <w:p>
      <w:pPr>
        <w:pStyle w:val="P3"/>
        <w:tabs>
          <w:tab w:val="left" w:pos="2460" w:leader="none"/>
        </w:tabs>
        <w:jc w:val="left"/>
        <w:rPr>
          <w:b w:val="1"/>
          <w:sz w:val="28"/>
        </w:rPr>
      </w:pP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b w:val="1"/>
          <w:sz w:val="28"/>
        </w:rPr>
        <w:t>б)</w:t>
      </w:r>
      <w:r>
        <w:rPr>
          <w:sz w:val="28"/>
        </w:rPr>
        <w:t xml:space="preserve">  </w:t>
      </w:r>
      <w:r>
        <w:rPr>
          <w:b w:val="1"/>
          <w:sz w:val="28"/>
        </w:rPr>
        <w:t>Реакция Фоля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</w:t>
      </w:r>
      <w:r>
        <w:rPr>
          <w:sz w:val="28"/>
        </w:rPr>
        <w:t xml:space="preserve">: при нагревании раствора инсулина со щелочью и нитратом свинца (реактив Фоля) жидкость окрашивается в бурый или черный цвет. Реакция обусловлена присутствием в инсулине серы, которая,  взаимодействуя со щелочью, образует сернистый натрий, последний с нитратом свинца дает черный осадок судьфида свинца.</w:t>
      </w:r>
    </w:p>
    <w:p>
      <w:pPr>
        <w:pStyle w:val="P3"/>
        <w:tabs>
          <w:tab w:val="left" w:pos="2460" w:leader="none"/>
        </w:tabs>
        <w:ind w:firstLine="709"/>
        <w:jc w:val="both"/>
        <w:rPr>
          <w:b w:val="1"/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 xml:space="preserve">к 5 каплям раствора инсулина добавляют 5 капель реактива Фоля. Раствор нагревают до кипения и дают постоять 1-2 минуты 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Лабораторная работа №2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«Качественная реакция на адреналин с хлорным железом</w:t>
      </w:r>
      <w:r>
        <w:rPr>
          <w:sz w:val="28"/>
        </w:rPr>
        <w:t>»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при взаимодействии хлорного железа с адреналином, содержащим в своем составе пирокатехиновое кольцо, образуется соединение зеленого цвета.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>к 5 каплям раствора адреналина добавляют 1 каплю 1% раствора FeCl</w:t>
      </w:r>
      <w:r>
        <w:rPr>
          <w:sz w:val="28"/>
          <w:vertAlign w:val="subscript"/>
        </w:rPr>
        <w:t>3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</w:p>
    <w:p>
      <w:pPr>
        <w:pStyle w:val="P3"/>
        <w:tabs>
          <w:tab w:val="left" w:pos="2460" w:leader="none"/>
        </w:tabs>
        <w:jc w:val="left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pStyle w:val="P3"/>
        <w:tabs>
          <w:tab w:val="left" w:pos="2460" w:leader="none"/>
        </w:tabs>
        <w:rPr>
          <w:b w:val="1"/>
          <w:sz w:val="28"/>
          <w:u w:val="single"/>
        </w:rPr>
      </w:pPr>
    </w:p>
    <w:p>
      <w:pPr>
        <w:pStyle w:val="P3"/>
        <w:tabs>
          <w:tab w:val="left" w:pos="2460" w:leader="none"/>
        </w:tabs>
        <w:rPr>
          <w:b w:val="1"/>
          <w:sz w:val="28"/>
          <w:u w:val="single"/>
        </w:rPr>
      </w:pPr>
    </w:p>
    <w:p>
      <w:pPr>
        <w:pStyle w:val="P3"/>
        <w:tabs>
          <w:tab w:val="left" w:pos="2460" w:leader="none"/>
        </w:tabs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УЧЕБНАЯ КОНФЕРЕНЦИЯ – 60 мин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Цель</w:t>
      </w:r>
      <w:r>
        <w:rPr>
          <w:sz w:val="28"/>
        </w:rPr>
        <w:t>: - повышение эффективности процесса обучения посредством:</w:t>
      </w:r>
    </w:p>
    <w:p>
      <w:pPr>
        <w:pStyle w:val="P3"/>
        <w:tabs>
          <w:tab w:val="left" w:pos="2460" w:leader="none"/>
        </w:tabs>
        <w:jc w:val="both"/>
        <w:rPr>
          <w:sz w:val="28"/>
        </w:rPr>
      </w:pPr>
      <w:r>
        <w:rPr>
          <w:sz w:val="28"/>
        </w:rPr>
        <w:t xml:space="preserve">- индивидуализации обучения при работе в студенческой группе и учета личностных характеристик при разработке индивидуальных заданий; </w:t>
      </w:r>
    </w:p>
    <w:p>
      <w:pPr>
        <w:pStyle w:val="P3"/>
        <w:tabs>
          <w:tab w:val="left" w:pos="2460" w:leader="none"/>
        </w:tabs>
        <w:jc w:val="both"/>
        <w:rPr>
          <w:sz w:val="28"/>
        </w:rPr>
      </w:pPr>
      <w:r>
        <w:rPr>
          <w:sz w:val="28"/>
        </w:rPr>
        <w:t>- обучения студентов общаться в рамках учебной конференции, развития навыков ведения дискуссии.</w:t>
      </w:r>
    </w:p>
    <w:p>
      <w:pPr>
        <w:pStyle w:val="P3"/>
        <w:tabs>
          <w:tab w:val="left" w:pos="2460" w:leader="none"/>
        </w:tabs>
        <w:rPr>
          <w:sz w:val="28"/>
          <w:u w:val="single"/>
        </w:rPr>
      </w:pPr>
    </w:p>
    <w:p>
      <w:pPr>
        <w:pStyle w:val="P3"/>
        <w:tabs>
          <w:tab w:val="left" w:pos="246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Этапы проведения конференции: </w:t>
      </w:r>
    </w:p>
    <w:p>
      <w:pPr>
        <w:pStyle w:val="P3"/>
        <w:numPr>
          <w:ilvl w:val="0"/>
          <w:numId w:val="5"/>
        </w:numPr>
        <w:tabs>
          <w:tab w:val="left" w:pos="284" w:leader="none"/>
          <w:tab w:val="clear" w:pos="720" w:leader="none"/>
          <w:tab w:val="left" w:pos="2460" w:leader="none"/>
        </w:tabs>
        <w:ind w:hanging="284" w:left="284"/>
        <w:jc w:val="both"/>
        <w:rPr>
          <w:sz w:val="28"/>
        </w:rPr>
      </w:pPr>
      <w:r>
        <w:rPr>
          <w:sz w:val="28"/>
        </w:rPr>
        <w:t xml:space="preserve">Подготовительный этап: выбор председателя конференции, напоминание о требованиях к докладчику и критериях оценки. Докладчик должен излагать материал согласно регламенту, свободно ориентироваться в проблеме, сопровождать выступление демонстрационным материалом. </w:t>
      </w:r>
    </w:p>
    <w:p>
      <w:pPr>
        <w:pStyle w:val="P3"/>
        <w:tabs>
          <w:tab w:val="left" w:pos="284" w:leader="none"/>
          <w:tab w:val="left" w:pos="2460" w:leader="none"/>
        </w:tabs>
        <w:ind w:hanging="360" w:left="360"/>
        <w:jc w:val="left"/>
        <w:rPr>
          <w:sz w:val="28"/>
        </w:rPr>
      </w:pPr>
      <w:r>
        <w:rPr>
          <w:sz w:val="28"/>
        </w:rPr>
        <w:t>2. Заслушивание сообщений студентов на тему:</w:t>
      </w:r>
    </w:p>
    <w:p>
      <w:pPr>
        <w:pStyle w:val="P3"/>
        <w:numPr>
          <w:ilvl w:val="1"/>
          <w:numId w:val="4"/>
        </w:numPr>
        <w:tabs>
          <w:tab w:val="left" w:pos="2460" w:leader="none"/>
        </w:tabs>
        <w:jc w:val="both"/>
        <w:rPr>
          <w:sz w:val="28"/>
        </w:rPr>
      </w:pPr>
      <w:r>
        <w:rPr>
          <w:sz w:val="28"/>
        </w:rPr>
        <w:t>Сахарный диабет: виды и причины. Нарушение обмена веществ при сахарном диабете.</w:t>
      </w:r>
    </w:p>
    <w:p>
      <w:pPr>
        <w:pStyle w:val="P3"/>
        <w:numPr>
          <w:ilvl w:val="1"/>
          <w:numId w:val="4"/>
        </w:numPr>
        <w:tabs>
          <w:tab w:val="left" w:pos="2460" w:leader="none"/>
        </w:tabs>
        <w:jc w:val="both"/>
        <w:rPr>
          <w:sz w:val="28"/>
        </w:rPr>
      </w:pPr>
      <w:r>
        <w:rPr>
          <w:sz w:val="28"/>
        </w:rPr>
        <w:t>Поздние осложнения сахарного диабета</w:t>
      </w:r>
    </w:p>
    <w:p>
      <w:pPr>
        <w:pStyle w:val="P3"/>
        <w:numPr>
          <w:ilvl w:val="1"/>
          <w:numId w:val="4"/>
        </w:numPr>
        <w:tabs>
          <w:tab w:val="left" w:pos="2460" w:leader="none"/>
        </w:tabs>
        <w:jc w:val="both"/>
        <w:rPr>
          <w:sz w:val="28"/>
        </w:rPr>
      </w:pPr>
      <w:r>
        <w:rPr>
          <w:sz w:val="28"/>
        </w:rPr>
        <w:t>Современные представления о биохимических методах диагностики и лечения сахарного диабета.</w:t>
      </w:r>
    </w:p>
    <w:p>
      <w:pPr>
        <w:jc w:val="both"/>
        <w:rPr>
          <w:sz w:val="24"/>
          <w:u w:val="single"/>
        </w:rPr>
      </w:pPr>
      <w:r>
        <w:rPr>
          <w:sz w:val="28"/>
          <w:u w:val="single"/>
        </w:rPr>
        <w:t>Задачи выступающего</w:t>
      </w:r>
      <w:r>
        <w:rPr>
          <w:sz w:val="24"/>
          <w:u w:val="single"/>
        </w:rPr>
        <w:t xml:space="preserve">: </w:t>
      </w:r>
    </w:p>
    <w:p>
      <w:pPr>
        <w:jc w:val="both"/>
        <w:rPr>
          <w:sz w:val="28"/>
        </w:rPr>
      </w:pPr>
      <w:r>
        <w:rPr>
          <w:sz w:val="28"/>
        </w:rPr>
        <w:t xml:space="preserve">- сформулировать цель и задачи данного сообщения; </w:t>
      </w:r>
    </w:p>
    <w:p>
      <w:pPr>
        <w:jc w:val="both"/>
        <w:rPr>
          <w:sz w:val="28"/>
        </w:rPr>
      </w:pPr>
      <w:r>
        <w:rPr>
          <w:sz w:val="28"/>
        </w:rPr>
        <w:t>- практическую значимость данной проблемы для будущего врача;</w:t>
      </w:r>
    </w:p>
    <w:p>
      <w:pPr>
        <w:jc w:val="both"/>
        <w:rPr>
          <w:sz w:val="28"/>
        </w:rPr>
      </w:pPr>
      <w:r>
        <w:rPr>
          <w:sz w:val="28"/>
        </w:rPr>
        <w:t xml:space="preserve">- продемонстрировать навыки публичного выступления. 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Задачи «экспертов»-слушателей:</w:t>
      </w:r>
    </w:p>
    <w:p>
      <w:pPr>
        <w:jc w:val="both"/>
        <w:rPr>
          <w:sz w:val="28"/>
        </w:rPr>
      </w:pPr>
      <w:r>
        <w:rPr>
          <w:sz w:val="28"/>
        </w:rPr>
        <w:t>- оценить данное выступления;</w:t>
      </w:r>
    </w:p>
    <w:p>
      <w:pPr>
        <w:jc w:val="both"/>
        <w:rPr>
          <w:sz w:val="28"/>
        </w:rPr>
      </w:pPr>
      <w:r>
        <w:rPr>
          <w:sz w:val="28"/>
        </w:rPr>
        <w:t>- оценить качество презентации и навыки публичного выступления;</w:t>
      </w:r>
    </w:p>
    <w:p>
      <w:pPr>
        <w:jc w:val="both"/>
        <w:rPr>
          <w:sz w:val="28"/>
        </w:rPr>
      </w:pPr>
      <w:r>
        <w:rPr>
          <w:sz w:val="28"/>
        </w:rPr>
        <w:t xml:space="preserve"> - внести дополнения и замечания по докладу,</w:t>
      </w:r>
    </w:p>
    <w:p>
      <w:pPr>
        <w:jc w:val="both"/>
        <w:rPr>
          <w:sz w:val="28"/>
        </w:rPr>
      </w:pPr>
      <w:r>
        <w:rPr>
          <w:sz w:val="28"/>
        </w:rPr>
        <w:t>- дать общую оценку проведенной работы.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Задачи преподавателя:</w:t>
      </w:r>
    </w:p>
    <w:p>
      <w:pPr>
        <w:jc w:val="both"/>
        <w:rPr>
          <w:sz w:val="28"/>
        </w:rPr>
      </w:pPr>
      <w:r>
        <w:rPr>
          <w:sz w:val="28"/>
        </w:rPr>
        <w:t>- проводить предварительные консультации по подбору, анализу литературных источников и подготовке презентации;</w:t>
      </w:r>
    </w:p>
    <w:p>
      <w:pPr>
        <w:jc w:val="both"/>
        <w:rPr>
          <w:sz w:val="28"/>
        </w:rPr>
      </w:pPr>
      <w:r>
        <w:rPr>
          <w:sz w:val="28"/>
        </w:rPr>
        <w:t>- управлять научно-практической дискуссией в соответствии с поставленными целью и задачами;</w:t>
      </w:r>
    </w:p>
    <w:p>
      <w:pPr>
        <w:jc w:val="both"/>
        <w:rPr>
          <w:sz w:val="28"/>
        </w:rPr>
      </w:pPr>
      <w:r>
        <w:rPr>
          <w:sz w:val="28"/>
        </w:rPr>
        <w:t>- обобщать дискуссию по каждому выступлению и в целом по группе.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Требования к подготовке выступления: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Продолжительность презентации 10 мин. После выступления в течение 10 мин проводится дискуссия. В ходе дискуссии вначале слушатели задают вопросы выступающему, затем высказывают замечания и дополнения. По завершении дискуссии преподаватель подводит итог, и проводится оценка выступления и дискуссии.</w:t>
      </w: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>I. Заполните таблицу</w:t>
      </w:r>
      <w:r>
        <w:rPr>
          <w:sz w:val="28"/>
        </w:rPr>
        <w:t xml:space="preserve">  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Характеристика гормонов мозгового слоя надпочечников и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поджелудочной железы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1617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Гормоны</w:t>
            </w:r>
          </w:p>
        </w:tc>
        <w:tc>
          <w:tcPr>
            <w:tcW w:w="1582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Место синтеза</w:t>
            </w:r>
          </w:p>
        </w:tc>
        <w:tc>
          <w:tcPr>
            <w:tcW w:w="1619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Стимулы</w:t>
            </w:r>
          </w:p>
        </w:tc>
        <w:tc>
          <w:tcPr>
            <w:tcW w:w="1643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Механизм действия</w:t>
            </w:r>
          </w:p>
        </w:tc>
        <w:tc>
          <w:tcPr>
            <w:tcW w:w="1444" w:type="dxa"/>
          </w:tcPr>
          <w:p>
            <w:pPr>
              <w:pStyle w:val="P3"/>
              <w:ind w:right="-43"/>
              <w:rPr>
                <w:sz w:val="28"/>
              </w:rPr>
            </w:pPr>
            <w:r>
              <w:rPr>
                <w:sz w:val="28"/>
              </w:rPr>
              <w:t>Органы - мишени</w:t>
            </w:r>
          </w:p>
        </w:tc>
        <w:tc>
          <w:tcPr>
            <w:tcW w:w="2232" w:type="dxa"/>
          </w:tcPr>
          <w:p>
            <w:pPr>
              <w:pStyle w:val="P3"/>
              <w:ind w:right="-144"/>
              <w:rPr>
                <w:sz w:val="28"/>
              </w:rPr>
            </w:pPr>
            <w:r>
              <w:rPr>
                <w:sz w:val="28"/>
              </w:rPr>
              <w:t>Метаболические эффекты</w:t>
            </w:r>
          </w:p>
        </w:tc>
      </w:tr>
      <w:tr>
        <w:tc>
          <w:tcPr>
            <w:tcW w:w="1617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Адреналин</w:t>
            </w:r>
          </w:p>
        </w:tc>
        <w:tc>
          <w:tcPr>
            <w:tcW w:w="158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43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444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</w:tr>
      <w:tr>
        <w:tc>
          <w:tcPr>
            <w:tcW w:w="1617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Инсулин</w:t>
            </w:r>
          </w:p>
        </w:tc>
        <w:tc>
          <w:tcPr>
            <w:tcW w:w="158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43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444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</w:tr>
      <w:tr>
        <w:tc>
          <w:tcPr>
            <w:tcW w:w="1617" w:type="dxa"/>
          </w:tcPr>
          <w:p>
            <w:pPr>
              <w:pStyle w:val="P3"/>
              <w:jc w:val="both"/>
              <w:rPr>
                <w:sz w:val="28"/>
              </w:rPr>
            </w:pPr>
            <w:r>
              <w:rPr>
                <w:sz w:val="28"/>
              </w:rPr>
              <w:t>Глюкагон</w:t>
            </w:r>
          </w:p>
        </w:tc>
        <w:tc>
          <w:tcPr>
            <w:tcW w:w="158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643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1444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pStyle w:val="P3"/>
              <w:jc w:val="both"/>
              <w:rPr>
                <w:sz w:val="28"/>
              </w:rPr>
            </w:pPr>
          </w:p>
        </w:tc>
      </w:tr>
    </w:tbl>
    <w:p>
      <w:pPr>
        <w:pStyle w:val="P3"/>
        <w:numPr>
          <w:ilvl w:val="0"/>
          <w:numId w:val="2"/>
        </w:numPr>
        <w:jc w:val="left"/>
        <w:rPr>
          <w:sz w:val="28"/>
          <w:u w:val="single"/>
        </w:rPr>
      </w:pPr>
      <w:r>
        <w:rPr>
          <w:sz w:val="28"/>
          <w:u w:val="single"/>
        </w:rPr>
        <w:t>Решите ситуационные задачи.</w:t>
      </w:r>
    </w:p>
    <w:p>
      <w:pPr>
        <w:pStyle w:val="P3"/>
        <w:rPr>
          <w:sz w:val="28"/>
        </w:rPr>
      </w:pPr>
      <w:r>
        <w:rPr>
          <w:sz w:val="28"/>
        </w:rPr>
        <w:t>№ 1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После травмы больная длительное время находилась на постельном режиме, при этом она существенно снизила в рационе питания жиры, но не отказалась от избыточного потребления углеводов, в результате ее вес увеличился на 14 кг. Объясните ситуацию, при этом обоснуйте ответ:</w:t>
      </w:r>
    </w:p>
    <w:p>
      <w:pPr>
        <w:pStyle w:val="P3"/>
        <w:ind w:left="360"/>
        <w:jc w:val="both"/>
        <w:rPr>
          <w:sz w:val="28"/>
        </w:rPr>
      </w:pPr>
      <w:r>
        <w:rPr>
          <w:sz w:val="28"/>
        </w:rPr>
        <w:t>А) схематично изобразите метаболические пути, активация которых привела к увеличению массы тела больной;</w:t>
      </w:r>
    </w:p>
    <w:p>
      <w:pPr>
        <w:pStyle w:val="P3"/>
        <w:ind w:left="360"/>
        <w:jc w:val="both"/>
        <w:rPr>
          <w:sz w:val="28"/>
        </w:rPr>
      </w:pPr>
      <w:r>
        <w:rPr>
          <w:sz w:val="28"/>
        </w:rPr>
        <w:t>Б) назовите гормон, под влиянием которого это произошло.</w:t>
      </w:r>
    </w:p>
    <w:p>
      <w:pPr>
        <w:pStyle w:val="P3"/>
        <w:ind w:left="360"/>
        <w:rPr>
          <w:sz w:val="28"/>
        </w:rPr>
      </w:pPr>
      <w:r>
        <w:rPr>
          <w:sz w:val="28"/>
        </w:rPr>
        <w:t>№2</w:t>
      </w:r>
    </w:p>
    <w:p>
      <w:pPr>
        <w:pStyle w:val="P4"/>
        <w:shd w:val="clear" w:fill="FFFFFF"/>
        <w:spacing w:before="0" w:after="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У обследуемого больного жалобы на общую слабость, ухудшение зрения, повышение аппетита (полифагия), жажду (полидипсия), частые мочеиспускания (полиурия). Концентрация глюкозы в крови натощак 10 ммольл.</w:t>
      </w:r>
    </w:p>
    <w:p>
      <w:pPr>
        <w:pStyle w:val="P4"/>
        <w:shd w:val="clear" w:fill="FFFFFF"/>
        <w:spacing w:before="0" w:after="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1. Для какой патологии характерны указанные явления? 2. Какова причина полиурии? 3. Какие изменения в обмене углеводов наблюдаются при этой патологии? 4. Какие изменения в обмене липидов наблюдаются при этой патологии? 5. Чем вызвано ухудшение зрения при</w:t>
      </w:r>
      <w:r>
        <w:rPr>
          <w:b w:val="1"/>
          <w:sz w:val="28"/>
        </w:rPr>
        <w:t xml:space="preserve"> </w:t>
      </w:r>
      <w:r>
        <w:rPr>
          <w:sz w:val="28"/>
        </w:rPr>
        <w:t>этой патологии?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3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При опухолях мозгового слоя надпочечников (феохромоцитома) в крови повышается концентрация глюкозы и свободных жирных кислот. Объясните молекулярные механизмы наблюдаемых изменений метаболизма.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6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7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7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7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66B033D1">
      <w:start w:val="1"/>
      <w:numFmt w:val="decimal"/>
      <w:suff w:val="tab"/>
      <w:lvlText w:val="%1."/>
      <w:lvlJc w:val="left"/>
      <w:pPr/>
      <w:rPr/>
    </w:lvl>
    <w:lvl w:ilvl="2" w:tplc="750B4032">
      <w:start w:val="1"/>
      <w:numFmt w:val="decimal"/>
      <w:suff w:val="tab"/>
      <w:lvlText w:val="%1."/>
      <w:lvlJc w:val="left"/>
      <w:pPr/>
      <w:rPr/>
    </w:lvl>
    <w:lvl w:ilvl="3" w:tplc="0737B988">
      <w:start w:val="1"/>
      <w:numFmt w:val="decimal"/>
      <w:suff w:val="tab"/>
      <w:lvlText w:val="%1."/>
      <w:lvlJc w:val="left"/>
      <w:pPr/>
      <w:rPr/>
    </w:lvl>
    <w:lvl w:ilvl="4" w:tplc="57F83540">
      <w:start w:val="1"/>
      <w:numFmt w:val="decimal"/>
      <w:suff w:val="tab"/>
      <w:lvlText w:val="%1."/>
      <w:lvlJc w:val="left"/>
      <w:pPr/>
      <w:rPr/>
    </w:lvl>
    <w:lvl w:ilvl="5" w:tplc="62AD4CEF">
      <w:start w:val="1"/>
      <w:numFmt w:val="decimal"/>
      <w:suff w:val="tab"/>
      <w:lvlText w:val="%1."/>
      <w:lvlJc w:val="left"/>
      <w:pPr/>
      <w:rPr/>
    </w:lvl>
    <w:lvl w:ilvl="6" w:tplc="5A9C15D6">
      <w:start w:val="1"/>
      <w:numFmt w:val="decimal"/>
      <w:suff w:val="tab"/>
      <w:lvlText w:val="%1."/>
      <w:lvlJc w:val="left"/>
      <w:pPr/>
      <w:rPr/>
    </w:lvl>
    <w:lvl w:ilvl="7" w:tplc="4C889C22">
      <w:start w:val="1"/>
      <w:numFmt w:val="decimal"/>
      <w:suff w:val="tab"/>
      <w:lvlText w:val="%1."/>
      <w:lvlJc w:val="left"/>
      <w:pPr/>
      <w:rPr/>
    </w:lvl>
    <w:lvl w:ilvl="8" w:tplc="30DC3D4C">
      <w:start w:val="1"/>
      <w:numFmt w:val="decimal"/>
      <w:suff w:val="tab"/>
      <w:lvlText w:val="%1."/>
      <w:lvlJc w:val="left"/>
      <w:pPr/>
      <w:rPr/>
    </w:lvl>
  </w:abstractNum>
  <w:abstractNum w:abstractNumId="1">
    <w:nsid w:val="0F032213"/>
    <w:multiLevelType w:val="hybridMultilevel"/>
    <w:lvl w:ilvl="0">
      <w:start w:val="1"/>
      <w:numFmt w:val="upperRoman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4"/>
        <w:u w:val="none"/>
      </w:rPr>
    </w:lvl>
    <w:lvl w:ilvl="1" w:tplc="100C87F9">
      <w:start w:val="1"/>
      <w:numFmt w:val="decimal"/>
      <w:suff w:val="tab"/>
      <w:lvlText w:val="%1."/>
      <w:lvlJc w:val="left"/>
      <w:pPr/>
      <w:rPr/>
    </w:lvl>
    <w:lvl w:ilvl="2" w:tplc="4EB80BE4">
      <w:start w:val="1"/>
      <w:numFmt w:val="decimal"/>
      <w:suff w:val="tab"/>
      <w:lvlText w:val="%1."/>
      <w:lvlJc w:val="left"/>
      <w:pPr/>
      <w:rPr/>
    </w:lvl>
    <w:lvl w:ilvl="3" w:tplc="5F9B83CD">
      <w:start w:val="1"/>
      <w:numFmt w:val="decimal"/>
      <w:suff w:val="tab"/>
      <w:lvlText w:val="%1."/>
      <w:lvlJc w:val="left"/>
      <w:pPr/>
      <w:rPr/>
    </w:lvl>
    <w:lvl w:ilvl="4" w:tplc="1246469C">
      <w:start w:val="1"/>
      <w:numFmt w:val="decimal"/>
      <w:suff w:val="tab"/>
      <w:lvlText w:val="%1."/>
      <w:lvlJc w:val="left"/>
      <w:pPr/>
      <w:rPr/>
    </w:lvl>
    <w:lvl w:ilvl="5" w:tplc="51632324">
      <w:start w:val="1"/>
      <w:numFmt w:val="decimal"/>
      <w:suff w:val="tab"/>
      <w:lvlText w:val="%1."/>
      <w:lvlJc w:val="left"/>
      <w:pPr/>
      <w:rPr/>
    </w:lvl>
    <w:lvl w:ilvl="6" w:tplc="0B1ECED2">
      <w:start w:val="1"/>
      <w:numFmt w:val="decimal"/>
      <w:suff w:val="tab"/>
      <w:lvlText w:val="%1."/>
      <w:lvlJc w:val="left"/>
      <w:pPr/>
      <w:rPr/>
    </w:lvl>
    <w:lvl w:ilvl="7" w:tplc="4D09E7F0">
      <w:start w:val="1"/>
      <w:numFmt w:val="decimal"/>
      <w:suff w:val="tab"/>
      <w:lvlText w:val="%1."/>
      <w:lvlJc w:val="left"/>
      <w:pPr/>
      <w:rPr/>
    </w:lvl>
    <w:lvl w:ilvl="8" w:tplc="30ED3255">
      <w:start w:val="1"/>
      <w:numFmt w:val="decimal"/>
      <w:suff w:val="tab"/>
      <w:lvlText w:val="%1."/>
      <w:lvlJc w:val="left"/>
      <w:pPr/>
      <w:rPr/>
    </w:lvl>
  </w:abstractNum>
  <w:abstractNum w:abstractNumId="2">
    <w:nsid w:val="363140A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09D0C32"/>
    <w:multiLevelType w:val="hybridMultilevel"/>
    <w:lvl w:ilvl="0" w:tplc="142EA72C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421F52F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27D48FA"/>
    <w:multiLevelType w:val="hybridMultilevel"/>
    <w:lvl w:ilvl="0" w:tplc="142EA72C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D34434E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68C478F2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502"/>
      </w:pPr>
      <w:rPr/>
    </w:lvl>
    <w:lvl w:ilvl="1" w:tplc="35AE2ED8">
      <w:start w:val="1"/>
      <w:numFmt w:val="decimal"/>
      <w:suff w:val="tab"/>
      <w:lvlText w:val="%1."/>
      <w:lvlJc w:val="left"/>
      <w:pPr/>
      <w:rPr/>
    </w:lvl>
    <w:lvl w:ilvl="2" w:tplc="72663971">
      <w:start w:val="1"/>
      <w:numFmt w:val="decimal"/>
      <w:suff w:val="tab"/>
      <w:lvlText w:val="%1."/>
      <w:lvlJc w:val="left"/>
      <w:pPr/>
      <w:rPr/>
    </w:lvl>
    <w:lvl w:ilvl="3" w:tplc="7447FACA">
      <w:start w:val="1"/>
      <w:numFmt w:val="decimal"/>
      <w:suff w:val="tab"/>
      <w:lvlText w:val="%1."/>
      <w:lvlJc w:val="left"/>
      <w:pPr/>
      <w:rPr/>
    </w:lvl>
    <w:lvl w:ilvl="4" w:tplc="544873D8">
      <w:start w:val="1"/>
      <w:numFmt w:val="decimal"/>
      <w:suff w:val="tab"/>
      <w:lvlText w:val="%1."/>
      <w:lvlJc w:val="left"/>
      <w:pPr/>
      <w:rPr/>
    </w:lvl>
    <w:lvl w:ilvl="5" w:tplc="2D094A30">
      <w:start w:val="1"/>
      <w:numFmt w:val="decimal"/>
      <w:suff w:val="tab"/>
      <w:lvlText w:val="%1."/>
      <w:lvlJc w:val="left"/>
      <w:pPr/>
      <w:rPr/>
    </w:lvl>
    <w:lvl w:ilvl="6" w:tplc="4B6DDA1D">
      <w:start w:val="1"/>
      <w:numFmt w:val="decimal"/>
      <w:suff w:val="tab"/>
      <w:lvlText w:val="%1."/>
      <w:lvlJc w:val="left"/>
      <w:pPr/>
      <w:rPr/>
    </w:lvl>
    <w:lvl w:ilvl="7" w:tplc="130E9563">
      <w:start w:val="1"/>
      <w:numFmt w:val="decimal"/>
      <w:suff w:val="tab"/>
      <w:lvlText w:val="%1."/>
      <w:lvlJc w:val="left"/>
      <w:pPr/>
      <w:rPr/>
    </w:lvl>
    <w:lvl w:ilvl="8" w:tplc="542BCD07">
      <w:start w:val="1"/>
      <w:numFmt w:val="decimal"/>
      <w:suff w:val="tab"/>
      <w:lvlText w:val="%1."/>
      <w:lvlJc w:val="left"/>
      <w:pPr/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paragraph" w:styleId="P4">
    <w:name w:val="Normal (Web)"/>
    <w:basedOn w:val="P0"/>
    <w:semiHidden/>
    <w:pPr>
      <w:spacing w:before="100" w:after="100" w:beforeAutospacing="1" w:afterAutospacing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